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ED9" w:rsidRPr="00373F52" w:rsidRDefault="004E4ED9" w:rsidP="004E4ED9">
      <w:pPr>
        <w:spacing w:after="0" w:line="360" w:lineRule="auto"/>
        <w:jc w:val="both"/>
        <w:rPr>
          <w:rFonts w:ascii="Palatino Linotype" w:hAnsi="Palatino Linotype" w:cs="Arial"/>
          <w:sz w:val="24"/>
          <w:szCs w:val="24"/>
          <w:lang w:val="es-MX"/>
        </w:rPr>
      </w:pPr>
      <w:r w:rsidRPr="00373F52">
        <w:rPr>
          <w:rFonts w:ascii="Palatino Linotype" w:hAnsi="Palatino Linotype" w:cs="Arial"/>
          <w:b/>
          <w:sz w:val="24"/>
          <w:szCs w:val="24"/>
          <w:lang w:val="es-MX"/>
        </w:rPr>
        <w:t xml:space="preserve">VOTO PARTICULAR DEL COMISIONADO JOSÉ GUADALUPE LUNA HERNÁNDEZ DEL RECURSO DE REVISIÓN </w:t>
      </w:r>
      <w:r>
        <w:rPr>
          <w:rFonts w:ascii="Palatino Linotype" w:hAnsi="Palatino Linotype" w:cs="Arial"/>
          <w:b/>
          <w:sz w:val="24"/>
          <w:szCs w:val="24"/>
          <w:lang w:val="es-MX"/>
        </w:rPr>
        <w:t>02299</w:t>
      </w:r>
      <w:r w:rsidRPr="00373F52">
        <w:rPr>
          <w:rFonts w:ascii="Palatino Linotype" w:hAnsi="Palatino Linotype" w:cs="Arial"/>
          <w:b/>
          <w:sz w:val="24"/>
          <w:szCs w:val="24"/>
          <w:lang w:val="es-MX"/>
        </w:rPr>
        <w:t>/INFOEM/IP/RR/2018.</w:t>
      </w:r>
    </w:p>
    <w:p w:rsidR="004E4ED9" w:rsidRPr="00373F52" w:rsidRDefault="004E4ED9" w:rsidP="004E4ED9">
      <w:pPr>
        <w:spacing w:after="0" w:line="360" w:lineRule="auto"/>
        <w:jc w:val="both"/>
        <w:rPr>
          <w:rFonts w:ascii="Palatino Linotype" w:hAnsi="Palatino Linotype" w:cs="Arial"/>
          <w:sz w:val="24"/>
          <w:szCs w:val="24"/>
          <w:lang w:val="es-MX"/>
        </w:rPr>
      </w:pPr>
    </w:p>
    <w:p w:rsidR="004E4ED9" w:rsidRPr="00373F52" w:rsidRDefault="004E4ED9" w:rsidP="004E4ED9">
      <w:pPr>
        <w:spacing w:after="0" w:line="360" w:lineRule="auto"/>
        <w:jc w:val="both"/>
        <w:rPr>
          <w:rFonts w:ascii="Palatino Linotype" w:hAnsi="Palatino Linotype" w:cs="Arial"/>
          <w:b/>
          <w:sz w:val="24"/>
          <w:szCs w:val="24"/>
          <w:lang w:val="es-MX"/>
        </w:rPr>
      </w:pPr>
      <w:r w:rsidRPr="00373F52">
        <w:rPr>
          <w:rFonts w:ascii="Palatino Linotype" w:hAnsi="Palatino Linotype" w:cs="Arial"/>
          <w:b/>
          <w:sz w:val="24"/>
          <w:szCs w:val="24"/>
          <w:lang w:val="es-MX"/>
        </w:rPr>
        <w:t>Líneas argumentativas:</w:t>
      </w:r>
    </w:p>
    <w:p w:rsidR="004E4ED9" w:rsidRPr="00373F52" w:rsidRDefault="004E4ED9" w:rsidP="004E4ED9">
      <w:pPr>
        <w:spacing w:after="0" w:line="240" w:lineRule="auto"/>
        <w:jc w:val="both"/>
        <w:rPr>
          <w:rFonts w:ascii="Palatino Linotype" w:hAnsi="Palatino Linotype" w:cs="Arial"/>
          <w:sz w:val="24"/>
          <w:szCs w:val="24"/>
          <w:lang w:val="es-MX"/>
        </w:rPr>
      </w:pPr>
    </w:p>
    <w:p w:rsidR="004E4ED9" w:rsidRPr="00373F52" w:rsidRDefault="004E4ED9" w:rsidP="00924F20">
      <w:pPr>
        <w:spacing w:after="0" w:line="276"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4E4ED9" w:rsidRPr="00373F52" w:rsidRDefault="004E4ED9" w:rsidP="00924F20">
      <w:pPr>
        <w:spacing w:after="0" w:line="276" w:lineRule="auto"/>
        <w:jc w:val="both"/>
        <w:rPr>
          <w:rFonts w:ascii="Palatino Linotype" w:hAnsi="Palatino Linotype" w:cs="Arial"/>
          <w:sz w:val="24"/>
          <w:szCs w:val="24"/>
          <w:lang w:val="es-MX"/>
        </w:rPr>
      </w:pPr>
    </w:p>
    <w:p w:rsidR="004E4ED9" w:rsidRPr="00373F52" w:rsidRDefault="004E4ED9" w:rsidP="00924F20">
      <w:pPr>
        <w:spacing w:after="0" w:line="276"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La figura de actos consentidos no debe ser invocada en el derecho humano fundamental de acceder a la información pública gubernamental.</w:t>
      </w:r>
    </w:p>
    <w:p w:rsidR="004E4ED9" w:rsidRPr="00373F52" w:rsidRDefault="004E4ED9" w:rsidP="00924F20">
      <w:pPr>
        <w:spacing w:after="0" w:line="276" w:lineRule="auto"/>
        <w:jc w:val="both"/>
        <w:rPr>
          <w:rFonts w:ascii="Palatino Linotype" w:hAnsi="Palatino Linotype" w:cs="Arial"/>
          <w:sz w:val="24"/>
          <w:szCs w:val="24"/>
          <w:lang w:val="es-MX"/>
        </w:rPr>
      </w:pPr>
    </w:p>
    <w:p w:rsidR="004E4ED9" w:rsidRPr="00373F52" w:rsidRDefault="004E4ED9" w:rsidP="00924F20">
      <w:pPr>
        <w:spacing w:after="0" w:line="276"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4E4ED9" w:rsidRPr="00373F52" w:rsidRDefault="004E4ED9" w:rsidP="00924F20">
      <w:pPr>
        <w:spacing w:after="0" w:line="276" w:lineRule="auto"/>
        <w:jc w:val="both"/>
        <w:rPr>
          <w:rFonts w:ascii="Palatino Linotype" w:hAnsi="Palatino Linotype" w:cs="Arial"/>
          <w:sz w:val="24"/>
          <w:szCs w:val="24"/>
          <w:lang w:val="es-MX"/>
        </w:rPr>
      </w:pPr>
    </w:p>
    <w:p w:rsidR="004E4ED9" w:rsidRPr="00373F52" w:rsidRDefault="004E4ED9" w:rsidP="00924F20">
      <w:pPr>
        <w:spacing w:after="0" w:line="276"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4E4ED9" w:rsidRPr="00373F52" w:rsidRDefault="004E4ED9" w:rsidP="00924F20">
      <w:pPr>
        <w:spacing w:after="0" w:line="276" w:lineRule="auto"/>
        <w:jc w:val="both"/>
        <w:rPr>
          <w:rFonts w:ascii="Palatino Linotype" w:hAnsi="Palatino Linotype" w:cs="Arial"/>
          <w:sz w:val="24"/>
          <w:szCs w:val="24"/>
          <w:lang w:val="es-MX"/>
        </w:rPr>
      </w:pPr>
    </w:p>
    <w:p w:rsidR="004E4ED9" w:rsidRDefault="004E4ED9" w:rsidP="00924F20">
      <w:pPr>
        <w:spacing w:after="0" w:line="276"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E4ED9" w:rsidRPr="00373F52" w:rsidRDefault="004E4ED9" w:rsidP="00924F20">
      <w:pPr>
        <w:spacing w:after="0" w:line="276" w:lineRule="auto"/>
        <w:jc w:val="both"/>
        <w:rPr>
          <w:rFonts w:ascii="Palatino Linotype" w:hAnsi="Palatino Linotype" w:cs="Arial"/>
          <w:sz w:val="24"/>
          <w:szCs w:val="24"/>
          <w:lang w:val="es-MX"/>
        </w:rPr>
      </w:pPr>
    </w:p>
    <w:p w:rsidR="004E4ED9" w:rsidRDefault="004E4ED9" w:rsidP="00924F20">
      <w:pPr>
        <w:spacing w:after="0" w:line="276"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Los órganos del Es</w:t>
      </w:r>
      <w:r>
        <w:rPr>
          <w:rFonts w:ascii="Palatino Linotype" w:hAnsi="Palatino Linotype" w:cs="Arial"/>
          <w:sz w:val="24"/>
          <w:szCs w:val="24"/>
          <w:lang w:val="es-MX"/>
        </w:rPr>
        <w:t xml:space="preserve">tado, tienen el deber de cumplir sus </w:t>
      </w:r>
      <w:r w:rsidRPr="00373F52">
        <w:rPr>
          <w:rFonts w:ascii="Palatino Linotype" w:hAnsi="Palatino Linotype" w:cs="Arial"/>
          <w:sz w:val="24"/>
          <w:szCs w:val="24"/>
          <w:lang w:val="es-MX"/>
        </w:rPr>
        <w:t>atribuciones, de prevenir violaciones a los derechos fundamentales.</w:t>
      </w:r>
    </w:p>
    <w:p w:rsidR="004E4ED9" w:rsidRDefault="004E4ED9" w:rsidP="004E4ED9">
      <w:pPr>
        <w:spacing w:after="0" w:line="360" w:lineRule="auto"/>
        <w:jc w:val="both"/>
        <w:rPr>
          <w:rFonts w:ascii="Palatino Linotype" w:hAnsi="Palatino Linotype" w:cs="Arial"/>
          <w:sz w:val="24"/>
          <w:szCs w:val="24"/>
          <w:lang w:val="es-MX"/>
        </w:rPr>
      </w:pPr>
    </w:p>
    <w:p w:rsidR="00924F20" w:rsidRDefault="00924F20" w:rsidP="004E4ED9">
      <w:pPr>
        <w:spacing w:after="0" w:line="360" w:lineRule="auto"/>
        <w:jc w:val="both"/>
        <w:rPr>
          <w:rFonts w:ascii="Palatino Linotype" w:hAnsi="Palatino Linotype" w:cs="Arial"/>
          <w:sz w:val="24"/>
          <w:szCs w:val="24"/>
          <w:lang w:val="es-MX"/>
        </w:rPr>
      </w:pPr>
    </w:p>
    <w:p w:rsidR="004E4ED9" w:rsidRPr="00373F52" w:rsidRDefault="004E4ED9" w:rsidP="004E4ED9">
      <w:pPr>
        <w:spacing w:after="0" w:line="360" w:lineRule="auto"/>
        <w:jc w:val="both"/>
        <w:rPr>
          <w:rFonts w:ascii="Palatino Linotype" w:hAnsi="Palatino Linotype" w:cs="Arial"/>
          <w:sz w:val="24"/>
          <w:szCs w:val="24"/>
          <w:lang w:val="es-MX"/>
        </w:rPr>
      </w:pPr>
      <w:r w:rsidRPr="00373F52">
        <w:rPr>
          <w:rFonts w:ascii="Palatino Linotype" w:hAnsi="Palatino Linotype" w:cs="Arial"/>
          <w:b/>
          <w:sz w:val="24"/>
          <w:szCs w:val="24"/>
          <w:lang w:val="es-MX"/>
        </w:rPr>
        <w:lastRenderedPageBreak/>
        <w:t>Índice</w:t>
      </w:r>
    </w:p>
    <w:sdt>
      <w:sdtPr>
        <w:rPr>
          <w:rFonts w:ascii="Palatino Linotype" w:hAnsi="Palatino Linotype"/>
        </w:rPr>
        <w:id w:val="-1628690016"/>
        <w:docPartObj>
          <w:docPartGallery w:val="Table of Contents"/>
          <w:docPartUnique/>
        </w:docPartObj>
      </w:sdtPr>
      <w:sdtEndPr>
        <w:rPr>
          <w:b/>
          <w:bCs/>
        </w:rPr>
      </w:sdtEndPr>
      <w:sdtContent>
        <w:p w:rsidR="00924F20" w:rsidRDefault="004E4ED9">
          <w:pPr>
            <w:pStyle w:val="TDC1"/>
            <w:tabs>
              <w:tab w:val="left" w:pos="440"/>
              <w:tab w:val="right" w:leader="dot" w:pos="8828"/>
            </w:tabs>
            <w:rPr>
              <w:rFonts w:eastAsiaTheme="minorEastAsia"/>
              <w:noProof/>
              <w:lang w:eastAsia="es-ES"/>
            </w:rPr>
          </w:pPr>
          <w:r w:rsidRPr="00373F52">
            <w:rPr>
              <w:rFonts w:ascii="Palatino Linotype" w:hAnsi="Palatino Linotype"/>
              <w:lang w:val="es-MX"/>
            </w:rPr>
            <w:fldChar w:fldCharType="begin"/>
          </w:r>
          <w:r w:rsidRPr="00373F52">
            <w:rPr>
              <w:rFonts w:ascii="Palatino Linotype" w:hAnsi="Palatino Linotype"/>
              <w:lang w:val="es-MX"/>
            </w:rPr>
            <w:instrText xml:space="preserve"> TOC \o "1-3" \h \z \u </w:instrText>
          </w:r>
          <w:r w:rsidRPr="00373F52">
            <w:rPr>
              <w:rFonts w:ascii="Palatino Linotype" w:hAnsi="Palatino Linotype"/>
              <w:lang w:val="es-MX"/>
            </w:rPr>
            <w:fldChar w:fldCharType="separate"/>
          </w:r>
          <w:hyperlink w:anchor="_Toc523745722" w:history="1">
            <w:r w:rsidR="00924F20" w:rsidRPr="00181B1B">
              <w:rPr>
                <w:rStyle w:val="Hipervnculo"/>
                <w:rFonts w:ascii="Palatino Linotype" w:eastAsiaTheme="majorEastAsia" w:hAnsi="Palatino Linotype" w:cstheme="majorBidi"/>
                <w:b/>
                <w:noProof/>
                <w:lang w:val="es-MX"/>
              </w:rPr>
              <w:t>I.</w:t>
            </w:r>
            <w:r w:rsidR="00924F20">
              <w:rPr>
                <w:rFonts w:eastAsiaTheme="minorEastAsia"/>
                <w:noProof/>
                <w:lang w:eastAsia="es-ES"/>
              </w:rPr>
              <w:tab/>
            </w:r>
            <w:r w:rsidR="00924F20" w:rsidRPr="00181B1B">
              <w:rPr>
                <w:rStyle w:val="Hipervnculo"/>
                <w:rFonts w:ascii="Palatino Linotype" w:eastAsiaTheme="majorEastAsia" w:hAnsi="Palatino Linotype" w:cstheme="majorBidi"/>
                <w:b/>
                <w:noProof/>
                <w:lang w:val="es-MX"/>
              </w:rPr>
              <w:t>Consideraciones Generales.</w:t>
            </w:r>
            <w:r w:rsidR="00924F20">
              <w:rPr>
                <w:noProof/>
                <w:webHidden/>
              </w:rPr>
              <w:tab/>
            </w:r>
            <w:r w:rsidR="00924F20">
              <w:rPr>
                <w:noProof/>
                <w:webHidden/>
              </w:rPr>
              <w:fldChar w:fldCharType="begin"/>
            </w:r>
            <w:r w:rsidR="00924F20">
              <w:rPr>
                <w:noProof/>
                <w:webHidden/>
              </w:rPr>
              <w:instrText xml:space="preserve"> PAGEREF _Toc523745722 \h </w:instrText>
            </w:r>
            <w:r w:rsidR="00924F20">
              <w:rPr>
                <w:noProof/>
                <w:webHidden/>
              </w:rPr>
            </w:r>
            <w:r w:rsidR="00924F20">
              <w:rPr>
                <w:noProof/>
                <w:webHidden/>
              </w:rPr>
              <w:fldChar w:fldCharType="separate"/>
            </w:r>
            <w:r w:rsidR="00E5391B">
              <w:rPr>
                <w:noProof/>
                <w:webHidden/>
              </w:rPr>
              <w:t>2</w:t>
            </w:r>
            <w:r w:rsidR="00924F20">
              <w:rPr>
                <w:noProof/>
                <w:webHidden/>
              </w:rPr>
              <w:fldChar w:fldCharType="end"/>
            </w:r>
          </w:hyperlink>
        </w:p>
        <w:p w:rsidR="00924F20" w:rsidRDefault="00441EB0">
          <w:pPr>
            <w:pStyle w:val="TDC1"/>
            <w:tabs>
              <w:tab w:val="left" w:pos="660"/>
              <w:tab w:val="right" w:leader="dot" w:pos="8828"/>
            </w:tabs>
            <w:rPr>
              <w:rFonts w:eastAsiaTheme="minorEastAsia"/>
              <w:noProof/>
              <w:lang w:eastAsia="es-ES"/>
            </w:rPr>
          </w:pPr>
          <w:hyperlink w:anchor="_Toc523745723" w:history="1">
            <w:r w:rsidR="00924F20" w:rsidRPr="00181B1B">
              <w:rPr>
                <w:rStyle w:val="Hipervnculo"/>
                <w:rFonts w:ascii="Palatino Linotype" w:eastAsiaTheme="majorEastAsia" w:hAnsi="Palatino Linotype" w:cstheme="majorBidi"/>
                <w:b/>
                <w:noProof/>
                <w:lang w:val="es-MX"/>
              </w:rPr>
              <w:t>II.</w:t>
            </w:r>
            <w:r w:rsidR="00924F20">
              <w:rPr>
                <w:rFonts w:eastAsiaTheme="minorEastAsia"/>
                <w:noProof/>
                <w:lang w:eastAsia="es-ES"/>
              </w:rPr>
              <w:tab/>
            </w:r>
            <w:r w:rsidR="00924F20" w:rsidRPr="00181B1B">
              <w:rPr>
                <w:rStyle w:val="Hipervnculo"/>
                <w:rFonts w:ascii="Palatino Linotype" w:eastAsiaTheme="majorEastAsia" w:hAnsi="Palatino Linotype" w:cstheme="majorBidi"/>
                <w:b/>
                <w:noProof/>
                <w:lang w:val="es-MX"/>
              </w:rPr>
              <w:t>De los requerimientos planteados en el recurso de revisión.</w:t>
            </w:r>
            <w:r w:rsidR="00924F20">
              <w:rPr>
                <w:noProof/>
                <w:webHidden/>
              </w:rPr>
              <w:tab/>
            </w:r>
            <w:r w:rsidR="00924F20">
              <w:rPr>
                <w:noProof/>
                <w:webHidden/>
              </w:rPr>
              <w:fldChar w:fldCharType="begin"/>
            </w:r>
            <w:r w:rsidR="00924F20">
              <w:rPr>
                <w:noProof/>
                <w:webHidden/>
              </w:rPr>
              <w:instrText xml:space="preserve"> PAGEREF _Toc523745723 \h </w:instrText>
            </w:r>
            <w:r w:rsidR="00924F20">
              <w:rPr>
                <w:noProof/>
                <w:webHidden/>
              </w:rPr>
            </w:r>
            <w:r w:rsidR="00924F20">
              <w:rPr>
                <w:noProof/>
                <w:webHidden/>
              </w:rPr>
              <w:fldChar w:fldCharType="separate"/>
            </w:r>
            <w:r w:rsidR="00E5391B">
              <w:rPr>
                <w:noProof/>
                <w:webHidden/>
              </w:rPr>
              <w:t>3</w:t>
            </w:r>
            <w:r w:rsidR="00924F20">
              <w:rPr>
                <w:noProof/>
                <w:webHidden/>
              </w:rPr>
              <w:fldChar w:fldCharType="end"/>
            </w:r>
          </w:hyperlink>
        </w:p>
        <w:p w:rsidR="00924F20" w:rsidRDefault="00441EB0">
          <w:pPr>
            <w:pStyle w:val="TDC1"/>
            <w:tabs>
              <w:tab w:val="left" w:pos="660"/>
              <w:tab w:val="right" w:leader="dot" w:pos="8828"/>
            </w:tabs>
            <w:rPr>
              <w:rFonts w:eastAsiaTheme="minorEastAsia"/>
              <w:noProof/>
              <w:lang w:eastAsia="es-ES"/>
            </w:rPr>
          </w:pPr>
          <w:hyperlink w:anchor="_Toc523745724" w:history="1">
            <w:r w:rsidR="00924F20" w:rsidRPr="00181B1B">
              <w:rPr>
                <w:rStyle w:val="Hipervnculo"/>
                <w:rFonts w:ascii="Palatino Linotype" w:eastAsiaTheme="majorEastAsia" w:hAnsi="Palatino Linotype" w:cstheme="majorBidi"/>
                <w:b/>
                <w:noProof/>
                <w:lang w:val="es-MX"/>
              </w:rPr>
              <w:t>III.</w:t>
            </w:r>
            <w:r w:rsidR="00924F20">
              <w:rPr>
                <w:rFonts w:eastAsiaTheme="minorEastAsia"/>
                <w:noProof/>
                <w:lang w:eastAsia="es-ES"/>
              </w:rPr>
              <w:tab/>
            </w:r>
            <w:r w:rsidR="00924F20" w:rsidRPr="00181B1B">
              <w:rPr>
                <w:rStyle w:val="Hipervnculo"/>
                <w:rFonts w:ascii="Palatino Linotype" w:eastAsiaTheme="majorEastAsia" w:hAnsi="Palatino Linotype" w:cstheme="majorBidi"/>
                <w:b/>
                <w:noProof/>
                <w:lang w:val="es-MX"/>
              </w:rPr>
              <w:t>Los actos consentidos no deben invocarse en el derecho fundamental de acceder a la información pública gubernamental.</w:t>
            </w:r>
            <w:r w:rsidR="00924F20">
              <w:rPr>
                <w:noProof/>
                <w:webHidden/>
              </w:rPr>
              <w:tab/>
            </w:r>
            <w:r w:rsidR="00924F20">
              <w:rPr>
                <w:noProof/>
                <w:webHidden/>
              </w:rPr>
              <w:fldChar w:fldCharType="begin"/>
            </w:r>
            <w:r w:rsidR="00924F20">
              <w:rPr>
                <w:noProof/>
                <w:webHidden/>
              </w:rPr>
              <w:instrText xml:space="preserve"> PAGEREF _Toc523745724 \h </w:instrText>
            </w:r>
            <w:r w:rsidR="00924F20">
              <w:rPr>
                <w:noProof/>
                <w:webHidden/>
              </w:rPr>
            </w:r>
            <w:r w:rsidR="00924F20">
              <w:rPr>
                <w:noProof/>
                <w:webHidden/>
              </w:rPr>
              <w:fldChar w:fldCharType="separate"/>
            </w:r>
            <w:r w:rsidR="00E5391B">
              <w:rPr>
                <w:noProof/>
                <w:webHidden/>
              </w:rPr>
              <w:t>7</w:t>
            </w:r>
            <w:r w:rsidR="00924F20">
              <w:rPr>
                <w:noProof/>
                <w:webHidden/>
              </w:rPr>
              <w:fldChar w:fldCharType="end"/>
            </w:r>
          </w:hyperlink>
        </w:p>
        <w:p w:rsidR="004E4ED9" w:rsidRPr="00373F52" w:rsidRDefault="004E4ED9" w:rsidP="004E4ED9">
          <w:pPr>
            <w:spacing w:line="360" w:lineRule="auto"/>
            <w:rPr>
              <w:rFonts w:ascii="Palatino Linotype" w:hAnsi="Palatino Linotype"/>
              <w:lang w:val="es-MX"/>
            </w:rPr>
          </w:pPr>
          <w:r w:rsidRPr="00373F52">
            <w:rPr>
              <w:rFonts w:ascii="Palatino Linotype" w:hAnsi="Palatino Linotype"/>
              <w:b/>
              <w:bCs/>
            </w:rPr>
            <w:fldChar w:fldCharType="end"/>
          </w:r>
        </w:p>
      </w:sdtContent>
    </w:sdt>
    <w:p w:rsidR="004E4ED9" w:rsidRPr="00373F52" w:rsidRDefault="004E4ED9" w:rsidP="004E4ED9">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0" w:name="_Toc523745722"/>
      <w:r w:rsidRPr="00373F52">
        <w:rPr>
          <w:rFonts w:ascii="Palatino Linotype" w:eastAsiaTheme="majorEastAsia" w:hAnsi="Palatino Linotype" w:cstheme="majorBidi"/>
          <w:b/>
          <w:sz w:val="24"/>
          <w:szCs w:val="24"/>
          <w:lang w:val="es-MX"/>
        </w:rPr>
        <w:t>Consideraciones Generales.</w:t>
      </w:r>
      <w:bookmarkEnd w:id="0"/>
    </w:p>
    <w:p w:rsidR="004E4ED9" w:rsidRPr="00373F52" w:rsidRDefault="004E4ED9" w:rsidP="004E4ED9">
      <w:pPr>
        <w:spacing w:after="0" w:line="360" w:lineRule="auto"/>
        <w:ind w:left="1080"/>
        <w:contextualSpacing/>
        <w:jc w:val="both"/>
        <w:rPr>
          <w:rFonts w:ascii="Palatino Linotype" w:hAnsi="Palatino Linotype" w:cs="Arial"/>
          <w:b/>
          <w:sz w:val="24"/>
          <w:szCs w:val="24"/>
          <w:lang w:val="es-MX"/>
        </w:rPr>
      </w:pPr>
    </w:p>
    <w:p w:rsidR="004E4ED9" w:rsidRPr="006A121E" w:rsidRDefault="004E4ED9" w:rsidP="004E4ED9">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eastAsia="Times New Roman" w:hAnsi="Palatino Linotype" w:cs="Arial"/>
          <w:sz w:val="24"/>
          <w:szCs w:val="24"/>
          <w:lang w:val="es-ES_tradnl"/>
        </w:rPr>
        <w:t xml:space="preserve">He concurrido con mi voto particular de la presente resolución emitida </w:t>
      </w:r>
      <w:r w:rsidRPr="00373F52">
        <w:rPr>
          <w:rFonts w:ascii="Palatino Linotype" w:hAnsi="Palatino Linotype" w:cs="Arial"/>
          <w:sz w:val="24"/>
          <w:szCs w:val="24"/>
          <w:lang w:val="es-MX"/>
        </w:rPr>
        <w:t>por el Pleno del Instituto de Transparencia, Acceso a la Información Pública y Protección de Datos Personales del Estado de México y Municipios, en su</w:t>
      </w:r>
      <w:r w:rsidRPr="006A121E">
        <w:rPr>
          <w:rFonts w:ascii="Palatino Linotype" w:hAnsi="Palatino Linotype" w:cs="Arial"/>
          <w:sz w:val="24"/>
          <w:szCs w:val="24"/>
          <w:lang w:val="es-MX"/>
        </w:rPr>
        <w:t xml:space="preserve"> </w:t>
      </w:r>
      <w:r w:rsidRPr="004E4ED9">
        <w:rPr>
          <w:rFonts w:ascii="Palatino Linotype" w:hAnsi="Palatino Linotype" w:cs="Arial"/>
          <w:sz w:val="24"/>
          <w:szCs w:val="24"/>
          <w:lang w:val="es-MX"/>
        </w:rPr>
        <w:t>Trigésima Primera Sesión</w:t>
      </w:r>
      <w:r>
        <w:rPr>
          <w:rFonts w:ascii="Palatino Linotype" w:hAnsi="Palatino Linotype" w:cs="Arial"/>
          <w:sz w:val="24"/>
          <w:szCs w:val="24"/>
          <w:lang w:val="es-MX"/>
        </w:rPr>
        <w:t xml:space="preserve"> O</w:t>
      </w:r>
      <w:r w:rsidRPr="00373F52">
        <w:rPr>
          <w:rFonts w:ascii="Palatino Linotype" w:hAnsi="Palatino Linotype" w:cs="Arial"/>
          <w:sz w:val="24"/>
          <w:szCs w:val="24"/>
          <w:lang w:val="es-MX"/>
        </w:rPr>
        <w:t xml:space="preserve">rdinaria de fecha </w:t>
      </w:r>
      <w:r>
        <w:rPr>
          <w:rFonts w:ascii="Palatino Linotype" w:hAnsi="Palatino Linotype" w:cs="Arial"/>
          <w:sz w:val="24"/>
          <w:szCs w:val="24"/>
          <w:lang w:val="es-MX"/>
        </w:rPr>
        <w:t>veintin</w:t>
      </w:r>
      <w:r w:rsidRPr="006A121E">
        <w:rPr>
          <w:rFonts w:ascii="Palatino Linotype" w:hAnsi="Palatino Linotype" w:cs="Arial"/>
          <w:sz w:val="24"/>
          <w:szCs w:val="24"/>
          <w:lang w:val="es-MX"/>
        </w:rPr>
        <w:t>ueve (</w:t>
      </w:r>
      <w:r>
        <w:rPr>
          <w:rFonts w:ascii="Palatino Linotype" w:hAnsi="Palatino Linotype" w:cs="Arial"/>
          <w:sz w:val="24"/>
          <w:szCs w:val="24"/>
          <w:lang w:val="es-MX"/>
        </w:rPr>
        <w:t>2</w:t>
      </w:r>
      <w:r w:rsidRPr="006A121E">
        <w:rPr>
          <w:rFonts w:ascii="Palatino Linotype" w:hAnsi="Palatino Linotype" w:cs="Arial"/>
          <w:sz w:val="24"/>
          <w:szCs w:val="24"/>
          <w:lang w:val="es-MX"/>
        </w:rPr>
        <w:t>9</w:t>
      </w:r>
      <w:r>
        <w:rPr>
          <w:rFonts w:ascii="Palatino Linotype" w:hAnsi="Palatino Linotype" w:cs="Arial"/>
          <w:sz w:val="24"/>
          <w:szCs w:val="24"/>
          <w:lang w:val="es-MX"/>
        </w:rPr>
        <w:t>) de agosto</w:t>
      </w:r>
      <w:r w:rsidRPr="00373F52">
        <w:rPr>
          <w:rFonts w:ascii="Palatino Linotype" w:hAnsi="Palatino Linotype" w:cs="Arial"/>
          <w:sz w:val="24"/>
          <w:szCs w:val="24"/>
          <w:lang w:val="es-MX"/>
        </w:rPr>
        <w:t xml:space="preserve"> de dos mil dieciocho, en el recurso de revisión promovido por</w:t>
      </w:r>
      <w:r w:rsidRPr="006A121E">
        <w:rPr>
          <w:rFonts w:ascii="Palatino Linotype" w:eastAsia="Times New Roman" w:hAnsi="Palatino Linotype" w:cs="Arial"/>
          <w:b/>
          <w:sz w:val="24"/>
          <w:szCs w:val="24"/>
          <w:lang w:eastAsia="es-ES"/>
        </w:rPr>
        <w:t xml:space="preserve"> </w:t>
      </w:r>
      <w:r w:rsidR="00203994">
        <w:rPr>
          <w:rFonts w:ascii="Palatino Linotype" w:eastAsia="Times New Roman" w:hAnsi="Palatino Linotype" w:cs="Arial"/>
          <w:b/>
          <w:sz w:val="24"/>
          <w:szCs w:val="24"/>
          <w:lang w:eastAsia="es-ES"/>
        </w:rPr>
        <w:t>**** **** ****</w:t>
      </w:r>
      <w:bookmarkStart w:id="1" w:name="_GoBack"/>
      <w:bookmarkEnd w:id="1"/>
      <w:r w:rsidRPr="00373F52">
        <w:rPr>
          <w:rFonts w:ascii="Palatino Linotype" w:hAnsi="Palatino Linotype" w:cs="Arial"/>
          <w:sz w:val="24"/>
          <w:szCs w:val="24"/>
          <w:lang w:val="es-MX"/>
        </w:rPr>
        <w:t>,</w:t>
      </w:r>
      <w:r w:rsidRPr="00373F52">
        <w:rPr>
          <w:rFonts w:ascii="Palatino Linotype" w:hAnsi="Palatino Linotype" w:cs="Arial"/>
          <w:b/>
          <w:sz w:val="24"/>
          <w:szCs w:val="24"/>
          <w:lang w:val="es-MX"/>
        </w:rPr>
        <w:t xml:space="preserve"> </w:t>
      </w:r>
      <w:r w:rsidRPr="00373F52">
        <w:rPr>
          <w:rFonts w:ascii="Palatino Linotype" w:hAnsi="Palatino Linotype" w:cs="Arial"/>
          <w:sz w:val="24"/>
          <w:szCs w:val="24"/>
          <w:lang w:val="es-MX"/>
        </w:rPr>
        <w:t>en contra de la respuesta del</w:t>
      </w:r>
      <w:r w:rsidRPr="006A121E">
        <w:rPr>
          <w:rFonts w:ascii="Palatino Linotype" w:eastAsia="Times New Roman" w:hAnsi="Palatino Linotype" w:cs="Arial"/>
          <w:b/>
          <w:sz w:val="24"/>
          <w:szCs w:val="24"/>
          <w:lang w:eastAsia="es-ES"/>
        </w:rPr>
        <w:t xml:space="preserve"> Ayuntamiento de </w:t>
      </w:r>
      <w:proofErr w:type="spellStart"/>
      <w:r w:rsidRPr="004E4ED9">
        <w:rPr>
          <w:rFonts w:ascii="Palatino Linotype" w:eastAsia="Times New Roman" w:hAnsi="Palatino Linotype" w:cs="Arial"/>
          <w:b/>
          <w:sz w:val="24"/>
          <w:szCs w:val="24"/>
          <w:lang w:eastAsia="es-ES"/>
        </w:rPr>
        <w:t>Temoaya</w:t>
      </w:r>
      <w:proofErr w:type="spellEnd"/>
      <w:r>
        <w:rPr>
          <w:rFonts w:ascii="Palatino Linotype" w:eastAsia="Times New Roman" w:hAnsi="Palatino Linotype" w:cs="Arial"/>
          <w:b/>
          <w:sz w:val="24"/>
          <w:szCs w:val="24"/>
          <w:lang w:eastAsia="es-ES"/>
        </w:rPr>
        <w:t xml:space="preserve">, </w:t>
      </w:r>
      <w:r w:rsidRPr="00373F52">
        <w:rPr>
          <w:rFonts w:ascii="Palatino Linotype" w:hAnsi="Palatino Linotype" w:cs="Arial"/>
          <w:sz w:val="24"/>
          <w:szCs w:val="24"/>
          <w:lang w:val="es-MX"/>
        </w:rPr>
        <w:t xml:space="preserve">procedimiento al que se le asignó el número de expediente </w:t>
      </w:r>
      <w:r w:rsidRPr="00373F52">
        <w:rPr>
          <w:rFonts w:ascii="Palatino Linotype" w:eastAsia="Times New Roman" w:hAnsi="Palatino Linotype" w:cs="Arial"/>
          <w:b/>
          <w:bCs/>
          <w:sz w:val="24"/>
          <w:szCs w:val="24"/>
          <w:lang w:val="es-MX" w:eastAsia="es-ES"/>
        </w:rPr>
        <w:t>0</w:t>
      </w:r>
      <w:r>
        <w:rPr>
          <w:rFonts w:ascii="Palatino Linotype" w:eastAsia="Times New Roman" w:hAnsi="Palatino Linotype" w:cs="Arial"/>
          <w:b/>
          <w:bCs/>
          <w:sz w:val="24"/>
          <w:szCs w:val="24"/>
          <w:lang w:val="es-MX" w:eastAsia="es-ES"/>
        </w:rPr>
        <w:t>2299</w:t>
      </w:r>
      <w:r w:rsidRPr="00373F52">
        <w:rPr>
          <w:rFonts w:ascii="Palatino Linotype" w:eastAsia="Times New Roman" w:hAnsi="Palatino Linotype" w:cs="Arial"/>
          <w:b/>
          <w:bCs/>
          <w:sz w:val="24"/>
          <w:szCs w:val="24"/>
          <w:lang w:val="es-MX" w:eastAsia="es-ES"/>
        </w:rPr>
        <w:t>/INFOEM/IP/RR/2018.</w:t>
      </w:r>
    </w:p>
    <w:p w:rsidR="004E4ED9" w:rsidRPr="00373F52" w:rsidRDefault="004E4ED9" w:rsidP="004E4ED9">
      <w:pPr>
        <w:spacing w:after="0" w:line="360" w:lineRule="auto"/>
        <w:ind w:left="426"/>
        <w:contextualSpacing/>
        <w:jc w:val="both"/>
        <w:rPr>
          <w:rFonts w:ascii="Palatino Linotype" w:hAnsi="Palatino Linotype" w:cs="Arial"/>
          <w:sz w:val="24"/>
          <w:szCs w:val="24"/>
          <w:lang w:val="es-MX"/>
        </w:rPr>
      </w:pPr>
    </w:p>
    <w:p w:rsidR="004E4ED9" w:rsidRPr="00186266" w:rsidRDefault="004E4ED9" w:rsidP="00186266">
      <w:pPr>
        <w:numPr>
          <w:ilvl w:val="0"/>
          <w:numId w:val="1"/>
        </w:numPr>
        <w:spacing w:before="240" w:after="240" w:line="360" w:lineRule="auto"/>
        <w:ind w:right="49"/>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El sentido de la Res</w:t>
      </w:r>
      <w:r>
        <w:rPr>
          <w:rFonts w:ascii="Palatino Linotype" w:hAnsi="Palatino Linotype" w:cs="Arial"/>
          <w:sz w:val="24"/>
          <w:szCs w:val="24"/>
          <w:lang w:val="es-MX"/>
        </w:rPr>
        <w:t xml:space="preserve">olución puntualmente </w:t>
      </w:r>
      <w:r w:rsidRPr="00DC586D">
        <w:rPr>
          <w:rFonts w:ascii="Palatino Linotype" w:hAnsi="Palatino Linotype" w:cs="Arial"/>
          <w:color w:val="000000" w:themeColor="text1"/>
          <w:sz w:val="24"/>
          <w:szCs w:val="24"/>
        </w:rPr>
        <w:t xml:space="preserve">determina </w:t>
      </w:r>
      <w:r w:rsidRPr="001966CD">
        <w:rPr>
          <w:rFonts w:ascii="Palatino Linotype" w:hAnsi="Palatino Linotype" w:cs="Arial"/>
          <w:b/>
          <w:color w:val="000000" w:themeColor="text1"/>
          <w:sz w:val="24"/>
          <w:szCs w:val="24"/>
        </w:rPr>
        <w:t>MODIFICAR</w:t>
      </w:r>
      <w:r w:rsidRPr="00DC586D">
        <w:rPr>
          <w:rFonts w:ascii="Palatino Linotype" w:hAnsi="Palatino Linotype" w:cs="Arial"/>
          <w:color w:val="000000" w:themeColor="text1"/>
          <w:sz w:val="24"/>
          <w:szCs w:val="24"/>
        </w:rPr>
        <w:t xml:space="preserve"> la respuesta del Sujeto Obligado y </w:t>
      </w:r>
      <w:r w:rsidRPr="00DC586D">
        <w:rPr>
          <w:rFonts w:ascii="Palatino Linotype" w:hAnsi="Palatino Linotype" w:cs="Arial"/>
          <w:b/>
          <w:color w:val="000000" w:themeColor="text1"/>
          <w:sz w:val="24"/>
          <w:szCs w:val="24"/>
        </w:rPr>
        <w:t>ORDENAR</w:t>
      </w:r>
      <w:r w:rsidRPr="00DC586D">
        <w:rPr>
          <w:rFonts w:ascii="Palatino Linotype" w:hAnsi="Palatino Linotype" w:cs="Arial"/>
          <w:color w:val="000000" w:themeColor="text1"/>
          <w:sz w:val="24"/>
          <w:szCs w:val="24"/>
        </w:rPr>
        <w:t xml:space="preserve"> la entrega</w:t>
      </w:r>
      <w:r w:rsidRPr="00373F52">
        <w:rPr>
          <w:rFonts w:ascii="Palatino Linotype" w:hAnsi="Palatino Linotype" w:cs="Arial"/>
          <w:sz w:val="24"/>
          <w:szCs w:val="24"/>
          <w:lang w:val="es-MX"/>
        </w:rPr>
        <w:t xml:space="preserve"> </w:t>
      </w:r>
      <w:r>
        <w:rPr>
          <w:rFonts w:ascii="Palatino Linotype" w:hAnsi="Palatino Linotype" w:cs="Arial"/>
          <w:sz w:val="24"/>
          <w:szCs w:val="24"/>
          <w:lang w:val="es-MX"/>
        </w:rPr>
        <w:t>de la información</w:t>
      </w:r>
      <w:r w:rsidR="00186266">
        <w:rPr>
          <w:rFonts w:ascii="Palatino Linotype" w:hAnsi="Palatino Linotype" w:cs="Arial"/>
          <w:sz w:val="24"/>
          <w:szCs w:val="24"/>
          <w:lang w:val="es-MX"/>
        </w:rPr>
        <w:t>;</w:t>
      </w:r>
      <w:r w:rsidRPr="00186266">
        <w:rPr>
          <w:rFonts w:ascii="Palatino Linotype" w:hAnsi="Palatino Linotype" w:cs="Arial"/>
          <w:sz w:val="24"/>
          <w:szCs w:val="24"/>
          <w:lang w:val="es-MX"/>
        </w:rPr>
        <w:t xml:space="preserve">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E4ED9" w:rsidRPr="00373F52" w:rsidRDefault="004E4ED9" w:rsidP="004E4ED9">
      <w:pPr>
        <w:ind w:left="720"/>
        <w:contextualSpacing/>
        <w:rPr>
          <w:rFonts w:ascii="Palatino Linotype" w:hAnsi="Palatino Linotype" w:cs="Arial"/>
          <w:sz w:val="24"/>
          <w:szCs w:val="24"/>
          <w:lang w:val="es-MX"/>
        </w:rPr>
      </w:pPr>
    </w:p>
    <w:p w:rsidR="004E4ED9" w:rsidRPr="00373F52" w:rsidRDefault="004E4ED9" w:rsidP="004E4ED9">
      <w:pPr>
        <w:numPr>
          <w:ilvl w:val="0"/>
          <w:numId w:val="1"/>
        </w:numPr>
        <w:spacing w:line="360" w:lineRule="auto"/>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lastRenderedPageBreak/>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4E4ED9" w:rsidRPr="00373F52" w:rsidRDefault="004E4ED9" w:rsidP="004E4ED9">
      <w:pPr>
        <w:ind w:left="720"/>
        <w:contextualSpacing/>
        <w:rPr>
          <w:rFonts w:ascii="Palatino Linotype" w:hAnsi="Palatino Linotype" w:cs="Arial"/>
          <w:sz w:val="24"/>
          <w:szCs w:val="24"/>
          <w:lang w:val="es-MX"/>
        </w:rPr>
      </w:pPr>
    </w:p>
    <w:p w:rsidR="004E4ED9" w:rsidRPr="00373F52" w:rsidRDefault="004E4ED9" w:rsidP="004E4ED9">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2" w:name="_Toc523745723"/>
      <w:r w:rsidRPr="00373F52">
        <w:rPr>
          <w:rFonts w:ascii="Palatino Linotype" w:eastAsiaTheme="majorEastAsia" w:hAnsi="Palatino Linotype" w:cstheme="majorBidi"/>
          <w:b/>
          <w:sz w:val="24"/>
          <w:szCs w:val="24"/>
          <w:lang w:val="es-MX"/>
        </w:rPr>
        <w:t>De los requerimientos planteados en el recurso de revisión.</w:t>
      </w:r>
      <w:bookmarkEnd w:id="2"/>
    </w:p>
    <w:p w:rsidR="004E4ED9" w:rsidRPr="00373F52" w:rsidRDefault="004E4ED9" w:rsidP="004E4ED9">
      <w:pPr>
        <w:spacing w:line="360" w:lineRule="auto"/>
        <w:ind w:left="1080"/>
        <w:contextualSpacing/>
        <w:jc w:val="both"/>
        <w:rPr>
          <w:rFonts w:ascii="Palatino Linotype" w:hAnsi="Palatino Linotype" w:cs="Arial"/>
          <w:sz w:val="24"/>
          <w:szCs w:val="24"/>
          <w:lang w:val="es-MX"/>
        </w:rPr>
      </w:pPr>
    </w:p>
    <w:p w:rsidR="004E4ED9" w:rsidRPr="00373F52" w:rsidRDefault="004E4ED9" w:rsidP="004E4ED9">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373F52">
        <w:rPr>
          <w:rFonts w:ascii="Palatino Linotype" w:hAnsi="Palatino Linotype" w:cs="Arial"/>
          <w:sz w:val="24"/>
          <w:szCs w:val="24"/>
          <w:lang w:val="es-MX"/>
        </w:rPr>
        <w:t>El particular solicitó al Sujeto Obligado la siguiente información:</w:t>
      </w:r>
    </w:p>
    <w:p w:rsidR="009F6173" w:rsidRDefault="009F6173" w:rsidP="009F6173">
      <w:pPr>
        <w:spacing w:after="0" w:line="360" w:lineRule="auto"/>
        <w:ind w:left="360"/>
        <w:contextualSpacing/>
        <w:jc w:val="both"/>
        <w:rPr>
          <w:rFonts w:ascii="Palatino Linotype" w:eastAsia="Times New Roman" w:hAnsi="Palatino Linotype" w:cs="Times New Roman"/>
          <w:i/>
          <w:sz w:val="24"/>
          <w:szCs w:val="24"/>
          <w:lang w:val="es-ES_tradnl" w:eastAsia="es-ES"/>
        </w:rPr>
      </w:pPr>
    </w:p>
    <w:p w:rsidR="00186266" w:rsidRPr="00186266" w:rsidRDefault="00186266" w:rsidP="009F6173">
      <w:pPr>
        <w:spacing w:after="0" w:line="360" w:lineRule="auto"/>
        <w:ind w:left="360" w:right="616"/>
        <w:contextualSpacing/>
        <w:jc w:val="both"/>
        <w:rPr>
          <w:rFonts w:ascii="Palatino Linotype" w:eastAsia="Times New Roman" w:hAnsi="Palatino Linotype" w:cs="Arial"/>
          <w:b/>
          <w:i/>
          <w:sz w:val="24"/>
          <w:szCs w:val="24"/>
          <w:lang w:eastAsia="es-ES"/>
        </w:rPr>
      </w:pPr>
      <w:r>
        <w:rPr>
          <w:rFonts w:ascii="Palatino Linotype" w:eastAsia="Times New Roman" w:hAnsi="Palatino Linotype" w:cs="Times New Roman"/>
          <w:i/>
          <w:color w:val="000000"/>
          <w:lang w:eastAsia="es-ES"/>
        </w:rPr>
        <w:t xml:space="preserve"> </w:t>
      </w:r>
      <w:r w:rsidRPr="00186266">
        <w:rPr>
          <w:rFonts w:ascii="Palatino Linotype" w:eastAsia="MS Mincho" w:hAnsi="Palatino Linotype" w:cs="Arial"/>
          <w:i/>
          <w:sz w:val="24"/>
          <w:szCs w:val="24"/>
          <w:lang w:val="es-MX" w:eastAsia="es-ES"/>
        </w:rPr>
        <w:t>“</w:t>
      </w:r>
      <w:r w:rsidRPr="00186266">
        <w:rPr>
          <w:rFonts w:ascii="Palatino Linotype" w:eastAsia="Times New Roman" w:hAnsi="Palatino Linotype" w:cs="Times New Roman"/>
          <w:i/>
          <w:color w:val="000000"/>
          <w:sz w:val="24"/>
          <w:szCs w:val="24"/>
          <w:lang w:eastAsia="es-ES"/>
        </w:rPr>
        <w:t xml:space="preserve">solicito los recibos de mayo 2018 de todos los servidores </w:t>
      </w:r>
      <w:proofErr w:type="spellStart"/>
      <w:r w:rsidRPr="00186266">
        <w:rPr>
          <w:rFonts w:ascii="Palatino Linotype" w:eastAsia="Times New Roman" w:hAnsi="Palatino Linotype" w:cs="Times New Roman"/>
          <w:i/>
          <w:color w:val="000000"/>
          <w:sz w:val="24"/>
          <w:szCs w:val="24"/>
          <w:lang w:eastAsia="es-ES"/>
        </w:rPr>
        <w:t>publicos</w:t>
      </w:r>
      <w:proofErr w:type="spellEnd"/>
      <w:r w:rsidRPr="00186266">
        <w:rPr>
          <w:rFonts w:ascii="Palatino Linotype" w:eastAsia="Times New Roman" w:hAnsi="Palatino Linotype" w:cs="Times New Roman"/>
          <w:i/>
          <w:color w:val="000000"/>
          <w:sz w:val="24"/>
          <w:szCs w:val="24"/>
          <w:lang w:eastAsia="es-ES"/>
        </w:rPr>
        <w:t xml:space="preserve"> del ayuntamiento y </w:t>
      </w:r>
      <w:proofErr w:type="spellStart"/>
      <w:r w:rsidRPr="00186266">
        <w:rPr>
          <w:rFonts w:ascii="Palatino Linotype" w:eastAsia="Times New Roman" w:hAnsi="Palatino Linotype" w:cs="Times New Roman"/>
          <w:i/>
          <w:color w:val="000000"/>
          <w:sz w:val="24"/>
          <w:szCs w:val="24"/>
          <w:lang w:eastAsia="es-ES"/>
        </w:rPr>
        <w:t>dif</w:t>
      </w:r>
      <w:proofErr w:type="spellEnd"/>
      <w:r w:rsidRPr="00186266">
        <w:rPr>
          <w:rFonts w:ascii="Palatino Linotype" w:eastAsia="Times New Roman" w:hAnsi="Palatino Linotype" w:cs="Times New Roman"/>
          <w:i/>
          <w:color w:val="000000"/>
          <w:sz w:val="24"/>
          <w:szCs w:val="24"/>
          <w:lang w:eastAsia="es-ES"/>
        </w:rPr>
        <w:t xml:space="preserve"> (nomina, lista de raya, </w:t>
      </w:r>
      <w:proofErr w:type="spellStart"/>
      <w:r w:rsidRPr="00186266">
        <w:rPr>
          <w:rFonts w:ascii="Palatino Linotype" w:eastAsia="Times New Roman" w:hAnsi="Palatino Linotype" w:cs="Times New Roman"/>
          <w:i/>
          <w:color w:val="000000"/>
          <w:sz w:val="24"/>
          <w:szCs w:val="24"/>
          <w:lang w:eastAsia="es-ES"/>
        </w:rPr>
        <w:t>policias</w:t>
      </w:r>
      <w:proofErr w:type="spellEnd"/>
      <w:r w:rsidRPr="00186266">
        <w:rPr>
          <w:rFonts w:ascii="Palatino Linotype" w:eastAsia="Times New Roman" w:hAnsi="Palatino Linotype" w:cs="Times New Roman"/>
          <w:i/>
          <w:color w:val="000000"/>
          <w:sz w:val="24"/>
          <w:szCs w:val="24"/>
          <w:lang w:eastAsia="es-ES"/>
        </w:rPr>
        <w:t>)</w:t>
      </w:r>
      <w:proofErr w:type="gramStart"/>
      <w:r w:rsidRPr="00186266">
        <w:rPr>
          <w:rFonts w:ascii="Palatino Linotype" w:eastAsia="Times New Roman" w:hAnsi="Palatino Linotype" w:cs="Arial"/>
          <w:i/>
          <w:sz w:val="24"/>
          <w:szCs w:val="24"/>
          <w:lang w:eastAsia="es-ES"/>
        </w:rPr>
        <w:t>”(</w:t>
      </w:r>
      <w:proofErr w:type="gramEnd"/>
      <w:r w:rsidRPr="00186266">
        <w:rPr>
          <w:rFonts w:ascii="Palatino Linotype" w:eastAsia="Times New Roman" w:hAnsi="Palatino Linotype" w:cs="Arial"/>
          <w:i/>
          <w:sz w:val="24"/>
          <w:szCs w:val="24"/>
          <w:lang w:eastAsia="es-ES"/>
        </w:rPr>
        <w:t>sic)</w:t>
      </w:r>
    </w:p>
    <w:p w:rsidR="004E4ED9" w:rsidRPr="00373F52" w:rsidRDefault="004E4ED9" w:rsidP="004E4ED9">
      <w:pPr>
        <w:spacing w:after="0" w:line="360" w:lineRule="auto"/>
        <w:jc w:val="both"/>
        <w:rPr>
          <w:rFonts w:ascii="Palatino Linotype" w:eastAsia="Times New Roman" w:hAnsi="Palatino Linotype" w:cs="Times New Roman"/>
          <w:i/>
          <w:sz w:val="24"/>
          <w:szCs w:val="24"/>
          <w:lang w:val="es-ES_tradnl" w:eastAsia="es-ES"/>
        </w:rPr>
      </w:pPr>
    </w:p>
    <w:p w:rsidR="004E4ED9" w:rsidRPr="00373F52" w:rsidRDefault="004E4ED9" w:rsidP="004E4ED9">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373F52">
        <w:rPr>
          <w:rFonts w:ascii="Palatino Linotype" w:hAnsi="Palatino Linotype" w:cs="Arial"/>
          <w:sz w:val="24"/>
          <w:szCs w:val="24"/>
          <w:lang w:val="es-MX"/>
        </w:rPr>
        <w:t xml:space="preserve">El Sujeto Obligado </w:t>
      </w:r>
      <w:r>
        <w:rPr>
          <w:rFonts w:ascii="Palatino Linotype" w:hAnsi="Palatino Linotype" w:cs="Arial"/>
          <w:sz w:val="24"/>
          <w:szCs w:val="24"/>
          <w:lang w:val="es-MX"/>
        </w:rPr>
        <w:t>en respuesta adjuntó los siguientes</w:t>
      </w:r>
      <w:r w:rsidRPr="00373F52">
        <w:rPr>
          <w:rFonts w:ascii="Palatino Linotype" w:hAnsi="Palatino Linotype" w:cs="Arial"/>
          <w:sz w:val="24"/>
          <w:szCs w:val="24"/>
          <w:lang w:val="es-MX"/>
        </w:rPr>
        <w:t xml:space="preserve"> archivos:</w:t>
      </w:r>
    </w:p>
    <w:p w:rsidR="00186266" w:rsidRPr="00186266" w:rsidRDefault="00186266" w:rsidP="009F6173">
      <w:pPr>
        <w:spacing w:before="240" w:after="240" w:line="360" w:lineRule="auto"/>
        <w:ind w:left="426" w:right="616"/>
        <w:jc w:val="both"/>
        <w:rPr>
          <w:rFonts w:ascii="Palatino Linotype" w:eastAsia="Times New Roman" w:hAnsi="Palatino Linotype" w:cs="Arial"/>
          <w:sz w:val="24"/>
          <w:szCs w:val="24"/>
          <w:lang w:eastAsia="es-ES"/>
        </w:rPr>
      </w:pPr>
      <w:r w:rsidRPr="00186266">
        <w:rPr>
          <w:rFonts w:ascii="Palatino Linotype" w:eastAsia="Times New Roman" w:hAnsi="Palatino Linotype" w:cs="Times New Roman"/>
          <w:i/>
          <w:sz w:val="24"/>
          <w:szCs w:val="24"/>
          <w:lang w:val="es-MX" w:eastAsia="es-MX"/>
        </w:rPr>
        <w:t>“…l</w:t>
      </w:r>
      <w:proofErr w:type="spellStart"/>
      <w:r w:rsidRPr="00186266">
        <w:rPr>
          <w:rFonts w:ascii="Palatino Linotype" w:eastAsia="Times New Roman" w:hAnsi="Palatino Linotype" w:cs="Times New Roman"/>
          <w:i/>
          <w:color w:val="000000"/>
          <w:sz w:val="24"/>
          <w:szCs w:val="24"/>
          <w:lang w:eastAsia="es-ES"/>
        </w:rPr>
        <w:t>e</w:t>
      </w:r>
      <w:proofErr w:type="spellEnd"/>
      <w:r w:rsidRPr="00186266">
        <w:rPr>
          <w:rFonts w:ascii="Palatino Linotype" w:eastAsia="Times New Roman" w:hAnsi="Palatino Linotype" w:cs="Times New Roman"/>
          <w:i/>
          <w:color w:val="000000"/>
          <w:sz w:val="24"/>
          <w:szCs w:val="24"/>
          <w:lang w:eastAsia="es-ES"/>
        </w:rPr>
        <w:t xml:space="preserve"> envío en formato </w:t>
      </w:r>
      <w:proofErr w:type="spellStart"/>
      <w:r w:rsidRPr="00186266">
        <w:rPr>
          <w:rFonts w:ascii="Palatino Linotype" w:eastAsia="Times New Roman" w:hAnsi="Palatino Linotype" w:cs="Times New Roman"/>
          <w:i/>
          <w:color w:val="000000"/>
          <w:sz w:val="24"/>
          <w:szCs w:val="24"/>
          <w:lang w:eastAsia="es-ES"/>
        </w:rPr>
        <w:t>pdf</w:t>
      </w:r>
      <w:proofErr w:type="spellEnd"/>
      <w:r w:rsidRPr="00186266">
        <w:rPr>
          <w:rFonts w:ascii="Palatino Linotype" w:eastAsia="Times New Roman" w:hAnsi="Palatino Linotype" w:cs="Times New Roman"/>
          <w:i/>
          <w:color w:val="000000"/>
          <w:sz w:val="24"/>
          <w:szCs w:val="24"/>
          <w:lang w:eastAsia="es-ES"/>
        </w:rPr>
        <w:t xml:space="preserve"> los recibos de nómina del personal adscrito al Ayuntamiento de </w:t>
      </w:r>
      <w:proofErr w:type="spellStart"/>
      <w:r w:rsidRPr="00186266">
        <w:rPr>
          <w:rFonts w:ascii="Palatino Linotype" w:eastAsia="Times New Roman" w:hAnsi="Palatino Linotype" w:cs="Times New Roman"/>
          <w:i/>
          <w:color w:val="000000"/>
          <w:sz w:val="24"/>
          <w:szCs w:val="24"/>
          <w:lang w:eastAsia="es-ES"/>
        </w:rPr>
        <w:t>Temoaya</w:t>
      </w:r>
      <w:proofErr w:type="spellEnd"/>
      <w:r w:rsidRPr="00186266">
        <w:rPr>
          <w:rFonts w:ascii="Palatino Linotype" w:eastAsia="Times New Roman" w:hAnsi="Palatino Linotype" w:cs="Times New Roman"/>
          <w:i/>
          <w:color w:val="000000"/>
          <w:sz w:val="24"/>
          <w:szCs w:val="24"/>
          <w:lang w:eastAsia="es-ES"/>
        </w:rPr>
        <w:t xml:space="preserve">; asimismo le comento que los recibos del personal adscrito al Sistema para el Desarrollo Integran de la Familia (DIF) se deben solicitar en la plataforma de dicho Sistema. Respecto a los recibos de nómina de la Dirección de Seguridad Pública Municipal, le informo que los mismos al ser divulgados comprometen la seguridad pública ya que podrían revelar el Estado de Fuerza con el que se cuenta y hacer frente a la delincuencia, por lo que se debe guardar correcto tratamiento. En virtud de esto los recibos de nómina y lista de raya del personal adscrito a Seguridad Pública Municipal se encuentran reservados de acuerdo a la Resolución de Clasificación emitida por el Comité de </w:t>
      </w:r>
      <w:r w:rsidRPr="00186266">
        <w:rPr>
          <w:rFonts w:ascii="Palatino Linotype" w:eastAsia="Times New Roman" w:hAnsi="Palatino Linotype" w:cs="Times New Roman"/>
          <w:i/>
          <w:color w:val="000000"/>
          <w:sz w:val="24"/>
          <w:szCs w:val="24"/>
          <w:lang w:eastAsia="es-ES"/>
        </w:rPr>
        <w:lastRenderedPageBreak/>
        <w:t xml:space="preserve">Transparencia del Ayuntamiento de </w:t>
      </w:r>
      <w:proofErr w:type="spellStart"/>
      <w:r w:rsidRPr="00186266">
        <w:rPr>
          <w:rFonts w:ascii="Palatino Linotype" w:eastAsia="Times New Roman" w:hAnsi="Palatino Linotype" w:cs="Times New Roman"/>
          <w:i/>
          <w:color w:val="000000"/>
          <w:sz w:val="24"/>
          <w:szCs w:val="24"/>
          <w:lang w:eastAsia="es-ES"/>
        </w:rPr>
        <w:t>Temoaya</w:t>
      </w:r>
      <w:proofErr w:type="spellEnd"/>
      <w:r w:rsidRPr="00186266">
        <w:rPr>
          <w:rFonts w:ascii="Palatino Linotype" w:eastAsia="Times New Roman" w:hAnsi="Palatino Linotype" w:cs="Times New Roman"/>
          <w:i/>
          <w:color w:val="000000"/>
          <w:sz w:val="24"/>
          <w:szCs w:val="24"/>
          <w:lang w:eastAsia="es-ES"/>
        </w:rPr>
        <w:t xml:space="preserve">, con número RESOLUCIÓN/CT/TEM/0029/16, en relación a lo establecido por el artículo 140 fracción I de la Ley de Transparencia y Acceso a la Información Pública del Estado de México y Municipios, y Ley del Sistema Nacional de Seguridad pública. (Anexo) No omito mencionar que los recibos de nómina se encuentran en versión pública de acuerdo a la Resolución de Clasificación emitida por el Comité de Transparencia del Ayuntamiento de </w:t>
      </w:r>
      <w:proofErr w:type="spellStart"/>
      <w:r w:rsidRPr="00186266">
        <w:rPr>
          <w:rFonts w:ascii="Palatino Linotype" w:eastAsia="Times New Roman" w:hAnsi="Palatino Linotype" w:cs="Times New Roman"/>
          <w:i/>
          <w:color w:val="000000"/>
          <w:sz w:val="24"/>
          <w:szCs w:val="24"/>
          <w:lang w:eastAsia="es-ES"/>
        </w:rPr>
        <w:t>Temoaya</w:t>
      </w:r>
      <w:proofErr w:type="spellEnd"/>
      <w:r w:rsidRPr="00186266">
        <w:rPr>
          <w:rFonts w:ascii="Palatino Linotype" w:eastAsia="Times New Roman" w:hAnsi="Palatino Linotype" w:cs="Times New Roman"/>
          <w:i/>
          <w:color w:val="000000"/>
          <w:sz w:val="24"/>
          <w:szCs w:val="24"/>
          <w:lang w:eastAsia="es-ES"/>
        </w:rPr>
        <w:t xml:space="preserve">, Administración 2016-2018 con número RESOLUCION/CT/TEM/0034/2017, la cual se adjunta a la </w:t>
      </w:r>
      <w:proofErr w:type="gramStart"/>
      <w:r w:rsidRPr="00186266">
        <w:rPr>
          <w:rFonts w:ascii="Palatino Linotype" w:eastAsia="Times New Roman" w:hAnsi="Palatino Linotype" w:cs="Times New Roman"/>
          <w:i/>
          <w:color w:val="000000"/>
          <w:sz w:val="24"/>
          <w:szCs w:val="24"/>
          <w:lang w:eastAsia="es-ES"/>
        </w:rPr>
        <w:t>presente …</w:t>
      </w:r>
      <w:proofErr w:type="gramEnd"/>
      <w:r w:rsidRPr="00186266">
        <w:rPr>
          <w:rFonts w:ascii="Palatino Linotype" w:eastAsia="Times New Roman" w:hAnsi="Palatino Linotype" w:cs="Times New Roman"/>
          <w:i/>
          <w:color w:val="000000"/>
          <w:sz w:val="24"/>
          <w:szCs w:val="24"/>
          <w:lang w:eastAsia="es-ES"/>
        </w:rPr>
        <w:t xml:space="preserve">” </w:t>
      </w:r>
      <w:r w:rsidRPr="00186266">
        <w:rPr>
          <w:rFonts w:ascii="Palatino Linotype" w:eastAsia="Times New Roman" w:hAnsi="Palatino Linotype" w:cs="Times New Roman"/>
          <w:color w:val="000000"/>
          <w:sz w:val="20"/>
          <w:szCs w:val="24"/>
          <w:lang w:eastAsia="es-ES"/>
        </w:rPr>
        <w:t>(sic)</w:t>
      </w:r>
    </w:p>
    <w:p w:rsidR="00186266" w:rsidRPr="00186266" w:rsidRDefault="00186266" w:rsidP="009F6173">
      <w:pPr>
        <w:pStyle w:val="Prrafodelista"/>
        <w:numPr>
          <w:ilvl w:val="0"/>
          <w:numId w:val="4"/>
        </w:numPr>
        <w:spacing w:before="240" w:after="240" w:line="360" w:lineRule="auto"/>
        <w:ind w:left="426" w:right="616" w:hanging="207"/>
        <w:jc w:val="both"/>
        <w:rPr>
          <w:rFonts w:ascii="Palatino Linotype" w:hAnsi="Palatino Linotype" w:cs="Arial"/>
        </w:rPr>
      </w:pPr>
      <w:r w:rsidRPr="00186266">
        <w:rPr>
          <w:rFonts w:ascii="Palatino Linotype" w:hAnsi="Palatino Linotype" w:cs="Arial"/>
        </w:rPr>
        <w:t xml:space="preserve">El </w:t>
      </w:r>
      <w:r w:rsidRPr="00186266">
        <w:rPr>
          <w:rFonts w:ascii="Palatino Linotype" w:hAnsi="Palatino Linotype" w:cs="Arial"/>
          <w:b/>
        </w:rPr>
        <w:t xml:space="preserve">Sujeto Obligado </w:t>
      </w:r>
      <w:r w:rsidRPr="00186266">
        <w:rPr>
          <w:rFonts w:ascii="Palatino Linotype" w:hAnsi="Palatino Linotype" w:cs="Arial"/>
        </w:rPr>
        <w:t xml:space="preserve">anexo los archivos </w:t>
      </w:r>
      <w:hyperlink r:id="rId8" w:tgtFrame="_blank" w:history="1">
        <w:r w:rsidRPr="00186266">
          <w:rPr>
            <w:rFonts w:ascii="Palatino Linotype" w:hAnsi="Palatino Linotype" w:cs="Arial"/>
            <w:b/>
            <w:bCs/>
            <w:color w:val="000000"/>
          </w:rPr>
          <w:t>1 PRIMERA QUINCENA DE MAYO 2018 LISTA DE RAYA.pdf</w:t>
        </w:r>
      </w:hyperlink>
      <w:r>
        <w:rPr>
          <w:rFonts w:ascii="Palatino Linotype" w:hAnsi="Palatino Linotype"/>
          <w:b/>
          <w:color w:val="000000"/>
        </w:rPr>
        <w:t>;</w:t>
      </w:r>
      <w:r w:rsidRPr="00186266">
        <w:rPr>
          <w:rFonts w:ascii="Palatino Linotype" w:hAnsi="Palatino Linotype"/>
          <w:b/>
          <w:color w:val="000000"/>
        </w:rPr>
        <w:t xml:space="preserve"> </w:t>
      </w:r>
      <w:hyperlink r:id="rId9" w:tgtFrame="_blank" w:history="1">
        <w:r w:rsidRPr="00186266">
          <w:rPr>
            <w:rFonts w:ascii="Palatino Linotype" w:hAnsi="Palatino Linotype" w:cs="Arial"/>
            <w:b/>
            <w:bCs/>
            <w:color w:val="000000"/>
          </w:rPr>
          <w:t>1 PRIMERA QUINCENA DE MAYO 2018 CONFIDENCIAL.pdf</w:t>
        </w:r>
      </w:hyperlink>
      <w:r>
        <w:rPr>
          <w:rFonts w:ascii="Palatino Linotype" w:hAnsi="Palatino Linotype"/>
          <w:b/>
          <w:color w:val="000000"/>
        </w:rPr>
        <w:t>;</w:t>
      </w:r>
      <w:r w:rsidRPr="00186266">
        <w:rPr>
          <w:rFonts w:ascii="Palatino Linotype" w:hAnsi="Palatino Linotype"/>
          <w:b/>
          <w:color w:val="000000"/>
        </w:rPr>
        <w:t xml:space="preserve"> </w:t>
      </w:r>
      <w:hyperlink r:id="rId10" w:tgtFrame="_blank" w:history="1">
        <w:r w:rsidRPr="00186266">
          <w:rPr>
            <w:rFonts w:ascii="Palatino Linotype" w:hAnsi="Palatino Linotype" w:cs="Arial"/>
            <w:b/>
            <w:bCs/>
            <w:color w:val="000000"/>
          </w:rPr>
          <w:t>1 PRIMERA QUINCENA DE MAYO 2018 GENERAL.pdf</w:t>
        </w:r>
      </w:hyperlink>
      <w:r>
        <w:rPr>
          <w:rFonts w:ascii="Palatino Linotype" w:hAnsi="Palatino Linotype"/>
          <w:b/>
          <w:color w:val="000000"/>
        </w:rPr>
        <w:t>;</w:t>
      </w:r>
      <w:r w:rsidRPr="00186266">
        <w:rPr>
          <w:rFonts w:ascii="Palatino Linotype" w:hAnsi="Palatino Linotype"/>
          <w:b/>
          <w:color w:val="000000"/>
        </w:rPr>
        <w:t xml:space="preserve"> </w:t>
      </w:r>
      <w:hyperlink r:id="rId11" w:tgtFrame="_blank" w:history="1">
        <w:r w:rsidRPr="00186266">
          <w:rPr>
            <w:rFonts w:ascii="Palatino Linotype" w:hAnsi="Palatino Linotype" w:cs="Arial"/>
            <w:b/>
            <w:bCs/>
            <w:color w:val="000000"/>
          </w:rPr>
          <w:t>1 PRIMERA QUINCENA DE MAYO 2018 PROTECCION CIVIL.pdf</w:t>
        </w:r>
      </w:hyperlink>
      <w:r>
        <w:rPr>
          <w:rFonts w:ascii="Palatino Linotype" w:hAnsi="Palatino Linotype"/>
          <w:b/>
          <w:color w:val="000000"/>
        </w:rPr>
        <w:t>;</w:t>
      </w:r>
      <w:r w:rsidRPr="00186266">
        <w:rPr>
          <w:rFonts w:ascii="Palatino Linotype" w:hAnsi="Palatino Linotype"/>
          <w:b/>
          <w:color w:val="000000"/>
        </w:rPr>
        <w:t xml:space="preserve"> </w:t>
      </w:r>
      <w:hyperlink r:id="rId12" w:tgtFrame="_blank" w:history="1">
        <w:r w:rsidRPr="00186266">
          <w:rPr>
            <w:rFonts w:ascii="Palatino Linotype" w:hAnsi="Palatino Linotype" w:cs="Arial"/>
            <w:b/>
            <w:bCs/>
            <w:color w:val="000000"/>
          </w:rPr>
          <w:t>2 SEGUNDA QUINCENA DE MAYO 2018 GENERAL.pdf</w:t>
        </w:r>
      </w:hyperlink>
      <w:r>
        <w:rPr>
          <w:rFonts w:ascii="Palatino Linotype" w:hAnsi="Palatino Linotype"/>
          <w:b/>
          <w:color w:val="000000"/>
        </w:rPr>
        <w:t>;</w:t>
      </w:r>
      <w:r w:rsidRPr="00186266">
        <w:rPr>
          <w:rFonts w:ascii="Palatino Linotype" w:hAnsi="Palatino Linotype"/>
          <w:b/>
          <w:color w:val="000000"/>
        </w:rPr>
        <w:t xml:space="preserve"> </w:t>
      </w:r>
      <w:hyperlink r:id="rId13" w:tgtFrame="_blank" w:history="1">
        <w:r w:rsidRPr="00186266">
          <w:rPr>
            <w:rFonts w:ascii="Palatino Linotype" w:hAnsi="Palatino Linotype" w:cs="Arial"/>
            <w:b/>
            <w:bCs/>
            <w:color w:val="000000"/>
          </w:rPr>
          <w:t>2 SEGUNDA QUINCENA DE MAYO 2018 CONFIDENCIAL.pdf</w:t>
        </w:r>
      </w:hyperlink>
      <w:r>
        <w:rPr>
          <w:rFonts w:ascii="Palatino Linotype" w:hAnsi="Palatino Linotype" w:cs="Arial"/>
          <w:b/>
          <w:bCs/>
          <w:color w:val="000000"/>
        </w:rPr>
        <w:t>;</w:t>
      </w:r>
      <w:r w:rsidRPr="00186266">
        <w:rPr>
          <w:rFonts w:ascii="Palatino Linotype" w:hAnsi="Palatino Linotype"/>
          <w:b/>
          <w:color w:val="000000"/>
        </w:rPr>
        <w:t xml:space="preserve"> </w:t>
      </w:r>
      <w:hyperlink r:id="rId14" w:tgtFrame="_blank" w:history="1">
        <w:r w:rsidRPr="00186266">
          <w:rPr>
            <w:rFonts w:ascii="Palatino Linotype" w:hAnsi="Palatino Linotype" w:cs="Arial"/>
            <w:b/>
            <w:bCs/>
            <w:color w:val="000000"/>
          </w:rPr>
          <w:t>2 SEGUNDA QUINCENA DE MAYO 2018 LISTA DE RAYA.pdf</w:t>
        </w:r>
      </w:hyperlink>
      <w:r>
        <w:rPr>
          <w:rFonts w:ascii="Palatino Linotype" w:hAnsi="Palatino Linotype"/>
          <w:b/>
          <w:color w:val="000000"/>
        </w:rPr>
        <w:t>;</w:t>
      </w:r>
      <w:r w:rsidRPr="00186266">
        <w:rPr>
          <w:rFonts w:ascii="Palatino Linotype" w:hAnsi="Palatino Linotype"/>
          <w:b/>
          <w:color w:val="000000"/>
        </w:rPr>
        <w:t xml:space="preserve"> </w:t>
      </w:r>
      <w:hyperlink r:id="rId15" w:tgtFrame="_blank" w:history="1">
        <w:r w:rsidRPr="00186266">
          <w:rPr>
            <w:rFonts w:ascii="Palatino Linotype" w:hAnsi="Palatino Linotype" w:cs="Arial"/>
            <w:b/>
            <w:bCs/>
            <w:color w:val="000000"/>
          </w:rPr>
          <w:t>2 SEGUNDA QUINCENA DE MAYO 2018 PROTECCION CIVIL.pdf</w:t>
        </w:r>
      </w:hyperlink>
      <w:r>
        <w:rPr>
          <w:rFonts w:ascii="Palatino Linotype" w:hAnsi="Palatino Linotype"/>
          <w:b/>
          <w:color w:val="000000"/>
        </w:rPr>
        <w:t>;</w:t>
      </w:r>
      <w:r w:rsidRPr="00186266">
        <w:rPr>
          <w:rFonts w:ascii="Palatino Linotype" w:hAnsi="Palatino Linotype"/>
          <w:b/>
          <w:color w:val="000000"/>
        </w:rPr>
        <w:t xml:space="preserve"> </w:t>
      </w:r>
      <w:hyperlink r:id="rId16" w:tgtFrame="_blank" w:history="1">
        <w:r w:rsidRPr="00186266">
          <w:rPr>
            <w:rFonts w:ascii="Palatino Linotype" w:hAnsi="Palatino Linotype" w:cs="Arial"/>
            <w:b/>
            <w:bCs/>
            <w:color w:val="000000"/>
          </w:rPr>
          <w:t>OFICIO 171.pdf</w:t>
        </w:r>
      </w:hyperlink>
      <w:r>
        <w:rPr>
          <w:rFonts w:ascii="Palatino Linotype" w:hAnsi="Palatino Linotype"/>
          <w:b/>
          <w:color w:val="000000"/>
        </w:rPr>
        <w:t>;</w:t>
      </w:r>
      <w:r w:rsidRPr="00186266">
        <w:rPr>
          <w:rFonts w:ascii="Palatino Linotype" w:hAnsi="Palatino Linotype"/>
          <w:b/>
          <w:color w:val="000000"/>
        </w:rPr>
        <w:t xml:space="preserve"> </w:t>
      </w:r>
      <w:hyperlink r:id="rId17" w:tgtFrame="_blank" w:history="1">
        <w:r w:rsidRPr="00186266">
          <w:rPr>
            <w:rFonts w:ascii="Palatino Linotype" w:hAnsi="Palatino Linotype" w:cs="Arial"/>
            <w:b/>
            <w:bCs/>
            <w:color w:val="000000"/>
          </w:rPr>
          <w:t>34 RESOLUCIÓN CT-TEM-0034-17 RECIBOS DE NÓMINA.PDF</w:t>
        </w:r>
      </w:hyperlink>
      <w:r>
        <w:rPr>
          <w:rFonts w:ascii="Palatino Linotype" w:hAnsi="Palatino Linotype"/>
          <w:b/>
          <w:color w:val="000000"/>
        </w:rPr>
        <w:t>;</w:t>
      </w:r>
      <w:r w:rsidRPr="00186266">
        <w:rPr>
          <w:rFonts w:ascii="Palatino Linotype" w:hAnsi="Palatino Linotype"/>
          <w:b/>
          <w:color w:val="000000"/>
        </w:rPr>
        <w:t xml:space="preserve"> y </w:t>
      </w:r>
      <w:hyperlink r:id="rId18" w:tgtFrame="_blank" w:history="1">
        <w:r w:rsidRPr="00186266">
          <w:rPr>
            <w:rFonts w:ascii="Palatino Linotype" w:hAnsi="Palatino Linotype" w:cs="Arial"/>
            <w:b/>
            <w:bCs/>
            <w:color w:val="000000"/>
          </w:rPr>
          <w:t>29 RESOLUCION-CT-TEM-0029-16 NOMINA Y LISTA DE RAYA DEL PERSONAL DE SEGURIDAD PÚBLICA.PDF</w:t>
        </w:r>
      </w:hyperlink>
    </w:p>
    <w:p w:rsidR="00186266" w:rsidRDefault="00186266" w:rsidP="009F6173">
      <w:pPr>
        <w:numPr>
          <w:ilvl w:val="0"/>
          <w:numId w:val="1"/>
        </w:numPr>
        <w:spacing w:before="240" w:after="240" w:line="360" w:lineRule="auto"/>
        <w:ind w:left="426" w:hanging="426"/>
        <w:contextualSpacing/>
        <w:jc w:val="both"/>
        <w:rPr>
          <w:rFonts w:ascii="Palatino Linotype" w:hAnsi="Palatino Linotype" w:cs="Arial"/>
          <w:sz w:val="24"/>
          <w:szCs w:val="24"/>
          <w:lang w:val="es-MX"/>
        </w:rPr>
      </w:pPr>
      <w:r w:rsidRPr="00CB243B">
        <w:rPr>
          <w:rFonts w:ascii="Palatino Linotype" w:hAnsi="Palatino Linotype" w:cs="Arial"/>
          <w:sz w:val="24"/>
          <w:szCs w:val="24"/>
          <w:lang w:val="es-MX"/>
        </w:rPr>
        <w:lastRenderedPageBreak/>
        <w:t>En ese sentido,</w:t>
      </w:r>
      <w:r w:rsidRPr="00CB243B">
        <w:rPr>
          <w:rFonts w:ascii="Palatino Linotype" w:hAnsi="Palatino Linotype" w:cs="Arial"/>
          <w:b/>
          <w:lang w:val="es-MX"/>
        </w:rPr>
        <w:t xml:space="preserve"> </w:t>
      </w:r>
      <w:r w:rsidRPr="00CB243B">
        <w:rPr>
          <w:rFonts w:ascii="Palatino Linotype" w:hAnsi="Palatino Linotype" w:cs="Arial"/>
          <w:sz w:val="24"/>
          <w:lang w:val="es-MX"/>
        </w:rPr>
        <w:t>la particular se inconformó en cuanto a la respuesta, misma que señala como motivos de inconformidad</w:t>
      </w:r>
      <w:r>
        <w:rPr>
          <w:rFonts w:ascii="Palatino Linotype" w:hAnsi="Palatino Linotype" w:cs="Arial"/>
          <w:sz w:val="24"/>
          <w:lang w:val="es-MX"/>
        </w:rPr>
        <w:t xml:space="preserve"> “</w:t>
      </w:r>
      <w:r w:rsidRPr="00186266">
        <w:rPr>
          <w:rFonts w:ascii="Palatino Linotype" w:eastAsia="Times New Roman" w:hAnsi="Palatino Linotype" w:cs="Times New Roman"/>
          <w:i/>
          <w:color w:val="000000"/>
          <w:sz w:val="24"/>
          <w:szCs w:val="24"/>
          <w:lang w:eastAsia="es-ES"/>
        </w:rPr>
        <w:t xml:space="preserve">Me falta la información que solicite con relación al DIF, me falta la lista de </w:t>
      </w:r>
      <w:proofErr w:type="spellStart"/>
      <w:r w:rsidRPr="00186266">
        <w:rPr>
          <w:rFonts w:ascii="Palatino Linotype" w:eastAsia="Times New Roman" w:hAnsi="Palatino Linotype" w:cs="Times New Roman"/>
          <w:i/>
          <w:color w:val="000000"/>
          <w:sz w:val="24"/>
          <w:szCs w:val="24"/>
          <w:lang w:eastAsia="es-ES"/>
        </w:rPr>
        <w:t>nomina</w:t>
      </w:r>
      <w:proofErr w:type="spellEnd"/>
      <w:r w:rsidRPr="00186266">
        <w:rPr>
          <w:rFonts w:ascii="Palatino Linotype" w:eastAsia="Times New Roman" w:hAnsi="Palatino Linotype" w:cs="Times New Roman"/>
          <w:i/>
          <w:color w:val="000000"/>
          <w:sz w:val="24"/>
          <w:szCs w:val="24"/>
          <w:lang w:eastAsia="es-ES"/>
        </w:rPr>
        <w:t xml:space="preserve"> y raya del DIF municipal de </w:t>
      </w:r>
      <w:proofErr w:type="spellStart"/>
      <w:r w:rsidRPr="00186266">
        <w:rPr>
          <w:rFonts w:ascii="Palatino Linotype" w:eastAsia="Times New Roman" w:hAnsi="Palatino Linotype" w:cs="Times New Roman"/>
          <w:i/>
          <w:color w:val="000000"/>
          <w:sz w:val="24"/>
          <w:szCs w:val="24"/>
          <w:lang w:eastAsia="es-ES"/>
        </w:rPr>
        <w:t>Temoaya</w:t>
      </w:r>
      <w:proofErr w:type="spellEnd"/>
      <w:r w:rsidRPr="00186266">
        <w:rPr>
          <w:rFonts w:ascii="Palatino Linotype" w:eastAsia="Times New Roman" w:hAnsi="Palatino Linotype" w:cs="Times New Roman"/>
          <w:i/>
          <w:color w:val="000000"/>
          <w:sz w:val="24"/>
          <w:szCs w:val="24"/>
          <w:lang w:eastAsia="es-ES"/>
        </w:rPr>
        <w:t xml:space="preserve"> de mayo 2018”</w:t>
      </w:r>
    </w:p>
    <w:p w:rsidR="00186266" w:rsidRDefault="00186266" w:rsidP="00186266">
      <w:pPr>
        <w:spacing w:before="240" w:after="240" w:line="360" w:lineRule="auto"/>
        <w:contextualSpacing/>
        <w:jc w:val="both"/>
        <w:rPr>
          <w:rFonts w:ascii="Palatino Linotype" w:hAnsi="Palatino Linotype" w:cs="Arial"/>
          <w:sz w:val="24"/>
          <w:szCs w:val="24"/>
          <w:lang w:val="es-MX"/>
        </w:rPr>
      </w:pPr>
    </w:p>
    <w:p w:rsidR="009F6173" w:rsidRPr="009F6173" w:rsidRDefault="009F6173"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Pr>
          <w:rFonts w:ascii="Palatino Linotype" w:hAnsi="Palatino Linotype" w:cs="Arial"/>
          <w:sz w:val="24"/>
          <w:szCs w:val="24"/>
          <w:lang w:val="es-MX"/>
        </w:rPr>
        <w:t xml:space="preserve">El Sujeto Obligado presentó su respectivo informe justificado consistente </w:t>
      </w:r>
      <w:r w:rsidRPr="009F6173">
        <w:rPr>
          <w:rFonts w:ascii="Palatino Linotype" w:eastAsia="Times New Roman" w:hAnsi="Palatino Linotype" w:cs="Arial"/>
          <w:sz w:val="24"/>
          <w:szCs w:val="24"/>
          <w:lang w:eastAsia="es-ES"/>
        </w:rPr>
        <w:t xml:space="preserve">el archivo </w:t>
      </w:r>
      <w:r w:rsidRPr="009F6173">
        <w:rPr>
          <w:rFonts w:ascii="Palatino Linotype" w:eastAsia="Times New Roman" w:hAnsi="Palatino Linotype" w:cs="Arial"/>
          <w:b/>
          <w:sz w:val="24"/>
          <w:szCs w:val="24"/>
          <w:lang w:eastAsia="es-ES"/>
        </w:rPr>
        <w:t xml:space="preserve">26 SOLICITUD.pdf, </w:t>
      </w:r>
      <w:r w:rsidRPr="009F6173">
        <w:rPr>
          <w:rFonts w:ascii="Palatino Linotype" w:eastAsia="Times New Roman" w:hAnsi="Palatino Linotype" w:cs="Arial"/>
          <w:sz w:val="24"/>
          <w:szCs w:val="24"/>
          <w:lang w:eastAsia="es-ES"/>
        </w:rPr>
        <w:t>en el momento procesal previsto en la Ley para formular informe justificado</w:t>
      </w:r>
      <w:r>
        <w:rPr>
          <w:rFonts w:ascii="Palatino Linotype" w:eastAsia="Times New Roman" w:hAnsi="Palatino Linotype" w:cs="Arial"/>
          <w:sz w:val="24"/>
          <w:szCs w:val="24"/>
          <w:lang w:eastAsia="es-ES"/>
        </w:rPr>
        <w:t xml:space="preserve"> y ofrecer pruebas y/o alegatos,</w:t>
      </w:r>
      <w:r w:rsidRPr="009F6173">
        <w:rPr>
          <w:rFonts w:ascii="Palatino Linotype" w:eastAsia="Times New Roman" w:hAnsi="Palatino Linotype" w:cs="Arial"/>
          <w:sz w:val="24"/>
          <w:szCs w:val="24"/>
          <w:lang w:eastAsia="es-ES"/>
        </w:rPr>
        <w:t xml:space="preserve"> mediante el cual ratificó la respuesta primigenia</w:t>
      </w:r>
      <w:r>
        <w:rPr>
          <w:rFonts w:ascii="Palatino Linotype" w:eastAsia="Times New Roman" w:hAnsi="Palatino Linotype" w:cs="Arial"/>
          <w:sz w:val="24"/>
          <w:szCs w:val="24"/>
          <w:lang w:eastAsia="es-ES"/>
        </w:rPr>
        <w:t>.</w:t>
      </w:r>
    </w:p>
    <w:p w:rsidR="009F6173" w:rsidRDefault="009F6173" w:rsidP="009F6173">
      <w:pPr>
        <w:pStyle w:val="Prrafodelista"/>
        <w:rPr>
          <w:rFonts w:ascii="Palatino Linotype" w:hAnsi="Palatino Linotype" w:cs="Arial"/>
          <w:lang w:val="es-MX"/>
        </w:rPr>
      </w:pPr>
    </w:p>
    <w:p w:rsidR="009F6173" w:rsidRDefault="009F6173"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Si bien es de destacar, que el Sujeto Obligado atiende la solicitud, sin embargo, en el estudio y desarrollo de dicha resolución fueron invocados los llamados “actos consentidos”, tal y como se observa en las siguientes líneas de la resolución en comento:</w:t>
      </w:r>
    </w:p>
    <w:p w:rsidR="009F6173" w:rsidRPr="009F6173" w:rsidRDefault="009F6173" w:rsidP="00924F20">
      <w:pPr>
        <w:autoSpaceDE w:val="0"/>
        <w:autoSpaceDN w:val="0"/>
        <w:adjustRightInd w:val="0"/>
        <w:spacing w:before="240" w:after="240" w:line="360" w:lineRule="auto"/>
        <w:ind w:left="426" w:right="616"/>
        <w:jc w:val="both"/>
        <w:rPr>
          <w:rFonts w:ascii="Palatino Linotype" w:eastAsia="Times New Roman" w:hAnsi="Palatino Linotype" w:cs="Arial"/>
          <w:i/>
          <w:color w:val="222222"/>
          <w:sz w:val="24"/>
          <w:szCs w:val="24"/>
          <w:lang w:eastAsia="es-ES"/>
        </w:rPr>
      </w:pPr>
      <w:r w:rsidRPr="009F6173">
        <w:rPr>
          <w:rFonts w:ascii="Palatino Linotype" w:eastAsia="Times New Roman" w:hAnsi="Palatino Linotype" w:cs="Times New Roman"/>
          <w:i/>
          <w:sz w:val="24"/>
          <w:szCs w:val="24"/>
          <w:lang w:eastAsia="es-ES"/>
        </w:rPr>
        <w:t xml:space="preserve">Como se observa, el </w:t>
      </w:r>
      <w:r w:rsidRPr="009F6173">
        <w:rPr>
          <w:rFonts w:ascii="Palatino Linotype" w:eastAsia="Times New Roman" w:hAnsi="Palatino Linotype" w:cs="Times New Roman"/>
          <w:b/>
          <w:i/>
          <w:sz w:val="24"/>
          <w:szCs w:val="24"/>
          <w:lang w:eastAsia="es-ES"/>
        </w:rPr>
        <w:t xml:space="preserve">Sujeto Obligado </w:t>
      </w:r>
      <w:r w:rsidRPr="009F6173">
        <w:rPr>
          <w:rFonts w:ascii="Palatino Linotype" w:eastAsia="Times New Roman" w:hAnsi="Palatino Linotype" w:cs="Times New Roman"/>
          <w:i/>
          <w:sz w:val="24"/>
          <w:szCs w:val="24"/>
          <w:lang w:eastAsia="es-ES"/>
        </w:rPr>
        <w:t xml:space="preserve">en cumplimiento a las obligaciones de transparencia previstas en la Ley de Transparencia y Acceso a la Información Pública del Estado de México y Municipios, entregó los recibos de nómina, que permiten hacer pública aquella información relativa a los montos y personas a quienes entreguen recursos públicos por la prestación de un servicio, toda vez que de conformidad con el artículo 99 </w:t>
      </w:r>
      <w:r w:rsidRPr="009F6173">
        <w:rPr>
          <w:rFonts w:ascii="Palatino Linotype" w:eastAsia="Times New Roman" w:hAnsi="Palatino Linotype" w:cs="Arial"/>
          <w:i/>
          <w:color w:val="222222"/>
          <w:sz w:val="24"/>
          <w:szCs w:val="24"/>
          <w:lang w:eastAsia="es-ES"/>
        </w:rPr>
        <w:t xml:space="preserve">fracción III de la Ley del Impuesto Sobre la Renta, todos los entes públicos que efectúen pagos por la prestación de un servicio profesional subordinado deberán expedir y entregar comprobantes fiscales a las </w:t>
      </w:r>
      <w:r w:rsidRPr="009F6173">
        <w:rPr>
          <w:rFonts w:ascii="Palatino Linotype" w:eastAsia="Times New Roman" w:hAnsi="Palatino Linotype" w:cs="Arial"/>
          <w:i/>
          <w:color w:val="222222"/>
          <w:sz w:val="24"/>
          <w:szCs w:val="24"/>
          <w:lang w:eastAsia="es-ES"/>
        </w:rPr>
        <w:lastRenderedPageBreak/>
        <w:t>personas que reciban pagos en las fechas en que se realice la erogación correspondiente, los cuales podrán utilizarse como constancia o recibo de pago para efectos de la legislación laboral.</w:t>
      </w:r>
    </w:p>
    <w:p w:rsidR="009F6173" w:rsidRPr="009F6173" w:rsidRDefault="009F6173" w:rsidP="00924F20">
      <w:pPr>
        <w:autoSpaceDE w:val="0"/>
        <w:autoSpaceDN w:val="0"/>
        <w:adjustRightInd w:val="0"/>
        <w:spacing w:before="240" w:after="240" w:line="360" w:lineRule="auto"/>
        <w:ind w:left="426" w:right="616"/>
        <w:jc w:val="both"/>
        <w:rPr>
          <w:rFonts w:ascii="Palatino Linotype" w:eastAsia="Times New Roman" w:hAnsi="Palatino Linotype" w:cs="Arial"/>
          <w:i/>
          <w:sz w:val="24"/>
          <w:szCs w:val="24"/>
          <w:lang w:eastAsia="es-ES"/>
        </w:rPr>
      </w:pPr>
      <w:r w:rsidRPr="009F6173">
        <w:rPr>
          <w:rFonts w:ascii="Palatino Linotype" w:eastAsia="Times New Roman" w:hAnsi="Palatino Linotype" w:cs="Arial"/>
          <w:b/>
          <w:i/>
          <w:color w:val="222222"/>
          <w:sz w:val="24"/>
          <w:szCs w:val="24"/>
          <w:u w:val="single"/>
          <w:lang w:eastAsia="es-ES"/>
        </w:rPr>
        <w:t>Documentos que no fueron refutados por la particular hoy Recurrente, lo que permitiría determinar que se trata de actos consentidos</w:t>
      </w:r>
      <w:r w:rsidRPr="009F6173">
        <w:rPr>
          <w:rFonts w:ascii="Palatino Linotype" w:eastAsia="Times New Roman" w:hAnsi="Palatino Linotype" w:cs="Arial"/>
          <w:i/>
          <w:color w:val="222222"/>
          <w:sz w:val="24"/>
          <w:szCs w:val="24"/>
          <w:vertAlign w:val="superscript"/>
          <w:lang w:eastAsia="es-ES"/>
        </w:rPr>
        <w:footnoteReference w:id="1"/>
      </w:r>
      <w:r w:rsidRPr="009F6173">
        <w:rPr>
          <w:rFonts w:ascii="Palatino Linotype" w:eastAsia="Times New Roman" w:hAnsi="Palatino Linotype" w:cs="Arial"/>
          <w:i/>
          <w:color w:val="222222"/>
          <w:sz w:val="24"/>
          <w:szCs w:val="24"/>
          <w:lang w:eastAsia="es-ES"/>
        </w:rPr>
        <w:t xml:space="preserve"> al no expresarse agravio en contra ellos, ya que se infiere su consentimiento ante la falta de impugnación eficaz, sin embargo, este Instituto considera necesario suplir la deficiencia del recurso de revisión en relación a la falta de argumentos que impugnen los Acuerdos de Clasificación de Información Confidencial y Reservada en términos de los artículos 13 y 181 </w:t>
      </w:r>
      <w:r w:rsidRPr="009F6173">
        <w:rPr>
          <w:rFonts w:ascii="Palatino Linotype" w:eastAsia="Times New Roman" w:hAnsi="Palatino Linotype" w:cs="Arial"/>
          <w:i/>
          <w:sz w:val="24"/>
          <w:szCs w:val="24"/>
          <w:lang w:eastAsia="es-ES"/>
        </w:rPr>
        <w:t>de la Ley de Transparencia y Acceso a la Información Pública de</w:t>
      </w:r>
      <w:r>
        <w:rPr>
          <w:rFonts w:ascii="Palatino Linotype" w:eastAsia="Times New Roman" w:hAnsi="Palatino Linotype" w:cs="Arial"/>
          <w:i/>
          <w:sz w:val="24"/>
          <w:szCs w:val="24"/>
          <w:lang w:eastAsia="es-ES"/>
        </w:rPr>
        <w:t xml:space="preserve">l Estado de México y Municipios… </w:t>
      </w:r>
    </w:p>
    <w:p w:rsidR="004E4ED9" w:rsidRPr="00373F52" w:rsidRDefault="004E4ED9" w:rsidP="00924F20">
      <w:pPr>
        <w:numPr>
          <w:ilvl w:val="0"/>
          <w:numId w:val="1"/>
        </w:numPr>
        <w:spacing w:before="240" w:after="240" w:line="360" w:lineRule="auto"/>
        <w:ind w:left="426" w:right="49"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373F52">
        <w:rPr>
          <w:rFonts w:ascii="Palatino Linotype" w:eastAsia="Calibri" w:hAnsi="Palatino Linotype" w:cs="Times New Roman"/>
          <w:sz w:val="24"/>
          <w:szCs w:val="24"/>
          <w:lang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w:t>
      </w:r>
      <w:r w:rsidRPr="00373F52">
        <w:rPr>
          <w:rFonts w:ascii="Palatino Linotype" w:eastAsia="Calibri" w:hAnsi="Palatino Linotype" w:cs="Times New Roman"/>
          <w:sz w:val="24"/>
          <w:szCs w:val="24"/>
          <w:lang w:eastAsia="es-ES"/>
        </w:rPr>
        <w:lastRenderedPageBreak/>
        <w:t xml:space="preserve">hecho a la resolución en comento, no se discute que el </w:t>
      </w:r>
      <w:r w:rsidRPr="00373F52">
        <w:rPr>
          <w:rFonts w:ascii="Palatino Linotype" w:eastAsia="Calibri" w:hAnsi="Palatino Linotype" w:cs="Times New Roman"/>
          <w:b/>
          <w:sz w:val="24"/>
          <w:szCs w:val="24"/>
          <w:lang w:eastAsia="es-ES"/>
        </w:rPr>
        <w:t>SUJETO OBLIGADO</w:t>
      </w:r>
      <w:r w:rsidRPr="00373F52">
        <w:rPr>
          <w:rFonts w:ascii="Palatino Linotype" w:eastAsia="Calibri" w:hAnsi="Palatino Linotype" w:cs="Times New Roman"/>
          <w:sz w:val="24"/>
          <w:szCs w:val="24"/>
          <w:lang w:eastAsia="es-ES"/>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4E4ED9" w:rsidRPr="00373F52" w:rsidRDefault="004E4ED9" w:rsidP="004E4ED9">
      <w:pPr>
        <w:spacing w:before="240" w:after="240" w:line="360" w:lineRule="auto"/>
        <w:ind w:left="360" w:right="49"/>
        <w:contextualSpacing/>
        <w:jc w:val="both"/>
        <w:rPr>
          <w:rFonts w:ascii="Palatino Linotype" w:hAnsi="Palatino Linotype" w:cs="Arial"/>
          <w:sz w:val="24"/>
          <w:szCs w:val="24"/>
          <w:lang w:val="es-MX"/>
        </w:rPr>
      </w:pPr>
    </w:p>
    <w:p w:rsidR="004E4ED9" w:rsidRPr="00373F52" w:rsidRDefault="004E4ED9" w:rsidP="004E4ED9">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3" w:name="_Toc523745724"/>
      <w:r w:rsidRPr="00373F52">
        <w:rPr>
          <w:rFonts w:ascii="Palatino Linotype" w:eastAsiaTheme="majorEastAsia" w:hAnsi="Palatino Linotype" w:cstheme="majorBidi"/>
          <w:b/>
          <w:sz w:val="24"/>
          <w:szCs w:val="24"/>
          <w:lang w:val="es-MX"/>
        </w:rPr>
        <w:t>Los actos consentidos no deben invocarse en el derecho fundamental de acceder a la información pública gubernamental.</w:t>
      </w:r>
      <w:bookmarkEnd w:id="3"/>
    </w:p>
    <w:p w:rsidR="004E4ED9" w:rsidRPr="00373F52" w:rsidRDefault="004E4ED9" w:rsidP="004E4ED9">
      <w:pPr>
        <w:spacing w:after="0" w:line="360" w:lineRule="auto"/>
        <w:ind w:left="1080"/>
        <w:contextualSpacing/>
        <w:jc w:val="both"/>
        <w:rPr>
          <w:rFonts w:ascii="Palatino Linotype" w:hAnsi="Palatino Linotype" w:cs="Arial"/>
          <w:b/>
          <w:sz w:val="24"/>
          <w:szCs w:val="24"/>
          <w:lang w:val="es-MX"/>
        </w:rPr>
      </w:pPr>
    </w:p>
    <w:p w:rsidR="004E4ED9" w:rsidRPr="00373F52" w:rsidRDefault="004E4ED9" w:rsidP="004E4ED9">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373F52">
        <w:rPr>
          <w:rFonts w:ascii="Palatino Linotype" w:hAnsi="Palatino Linotype" w:cs="Arial"/>
          <w:b/>
          <w:sz w:val="24"/>
          <w:szCs w:val="24"/>
          <w:lang w:val="es-MX"/>
        </w:rPr>
        <w:t>acudir a un profesionista del derecho</w:t>
      </w:r>
      <w:r w:rsidRPr="00373F52">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w:t>
      </w:r>
      <w:r w:rsidRPr="00373F52">
        <w:rPr>
          <w:rFonts w:ascii="Palatino Linotype" w:hAnsi="Palatino Linotype" w:cs="Arial"/>
          <w:sz w:val="24"/>
          <w:szCs w:val="24"/>
          <w:lang w:val="es-MX"/>
        </w:rPr>
        <w:lastRenderedPageBreak/>
        <w:t>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E4ED9" w:rsidRPr="00373F52" w:rsidRDefault="004E4ED9" w:rsidP="004E4ED9">
      <w:pPr>
        <w:spacing w:after="0" w:line="360" w:lineRule="auto"/>
        <w:ind w:left="426"/>
        <w:contextualSpacing/>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La figura de la suplencia de la queja, para Héctor </w:t>
      </w:r>
      <w:proofErr w:type="spellStart"/>
      <w:r w:rsidRPr="00373F52">
        <w:rPr>
          <w:rFonts w:ascii="Palatino Linotype" w:hAnsi="Palatino Linotype" w:cs="Arial"/>
          <w:sz w:val="24"/>
          <w:szCs w:val="24"/>
          <w:lang w:val="es-MX"/>
        </w:rPr>
        <w:t>Fix</w:t>
      </w:r>
      <w:proofErr w:type="spellEnd"/>
      <w:r w:rsidRPr="00373F52">
        <w:rPr>
          <w:rFonts w:ascii="Palatino Linotype" w:hAnsi="Palatino Linotype" w:cs="Arial"/>
          <w:sz w:val="24"/>
          <w:szCs w:val="24"/>
          <w:lang w:val="es-MX"/>
        </w:rPr>
        <w:t xml:space="preserve"> </w:t>
      </w:r>
      <w:proofErr w:type="gramStart"/>
      <w:r w:rsidRPr="00373F52">
        <w:rPr>
          <w:rFonts w:ascii="Palatino Linotype" w:hAnsi="Palatino Linotype" w:cs="Arial"/>
          <w:sz w:val="24"/>
          <w:szCs w:val="24"/>
          <w:lang w:val="es-MX"/>
        </w:rPr>
        <w:t>Zamudio  “</w:t>
      </w:r>
      <w:proofErr w:type="gramEnd"/>
      <w:r w:rsidRPr="00373F52">
        <w:rPr>
          <w:rFonts w:ascii="Palatino Linotype" w:hAnsi="Palatino Linotype" w:cs="Arial"/>
          <w:sz w:val="24"/>
          <w:szCs w:val="24"/>
          <w:lang w:val="es-MX"/>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373F52">
        <w:rPr>
          <w:rFonts w:ascii="Palatino Linotype" w:hAnsi="Palatino Linotype" w:cs="Arial"/>
          <w:vertAlign w:val="superscript"/>
          <w:lang w:val="es-MX"/>
        </w:rPr>
        <w:footnoteReference w:id="2"/>
      </w:r>
      <w:r w:rsidRPr="00373F52">
        <w:rPr>
          <w:rFonts w:ascii="Palatino Linotype" w:hAnsi="Palatino Linotype" w:cs="Arial"/>
          <w:sz w:val="24"/>
          <w:szCs w:val="24"/>
          <w:lang w:val="es-MX"/>
        </w:rPr>
        <w:t xml:space="preserve"> Según este mismo autor, “…es siempre obligatoria… respecto de los errores o defectos de los conceptos de violación expresados en la demanda, así como los de los agravios formulados en los recursos que el mismo ordenamiento establece”.</w:t>
      </w:r>
      <w:r w:rsidRPr="00373F52">
        <w:rPr>
          <w:rFonts w:ascii="Palatino Linotype" w:hAnsi="Palatino Linotype" w:cs="Arial"/>
          <w:vertAlign w:val="superscript"/>
          <w:lang w:val="es-MX"/>
        </w:rPr>
        <w:footnoteReference w:id="3"/>
      </w:r>
      <w:r w:rsidRPr="00373F52">
        <w:rPr>
          <w:rFonts w:ascii="Palatino Linotype" w:hAnsi="Palatino Linotype" w:cs="Arial"/>
          <w:sz w:val="24"/>
          <w:szCs w:val="24"/>
          <w:lang w:val="es-MX"/>
        </w:rPr>
        <w:t xml:space="preserve"> </w:t>
      </w:r>
    </w:p>
    <w:p w:rsidR="004E4ED9" w:rsidRPr="00373F52" w:rsidRDefault="004E4ED9" w:rsidP="004E4ED9">
      <w:pPr>
        <w:spacing w:line="360" w:lineRule="auto"/>
        <w:ind w:left="720"/>
        <w:contextualSpacing/>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Además es necesario precisar que el presente es un procedimiento cuasi jurisdiccional porque no hay partes en conflicto, por lo tanto lo que este Órgano </w:t>
      </w:r>
      <w:r w:rsidRPr="00373F52">
        <w:rPr>
          <w:rFonts w:ascii="Palatino Linotype" w:hAnsi="Palatino Linotype" w:cs="Arial"/>
          <w:sz w:val="24"/>
          <w:szCs w:val="24"/>
          <w:lang w:val="es-MX"/>
        </w:rPr>
        <w:lastRenderedPageBreak/>
        <w:t>Garante realice en materia de suplencia de la queja no afecta la igualdad de las partes sino procura el cumplimiento de los deberes de protección del derecho humano a partir del criterio que más le favorezca.</w:t>
      </w:r>
    </w:p>
    <w:p w:rsidR="004E4ED9" w:rsidRPr="00373F52" w:rsidRDefault="004E4ED9" w:rsidP="004E4ED9">
      <w:pPr>
        <w:spacing w:after="0" w:line="360" w:lineRule="auto"/>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373F52">
        <w:rPr>
          <w:rFonts w:ascii="Palatino Linotype" w:hAnsi="Palatino Linotype" w:cs="Arial"/>
          <w:b/>
          <w:sz w:val="24"/>
          <w:szCs w:val="24"/>
          <w:lang w:val="es-MX"/>
        </w:rPr>
        <w:t>garantía de los derechos humanos</w:t>
      </w:r>
      <w:r w:rsidRPr="00373F52">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4E4ED9" w:rsidRPr="00373F52" w:rsidRDefault="004E4ED9" w:rsidP="004E4ED9">
      <w:pPr>
        <w:spacing w:after="0" w:line="360" w:lineRule="auto"/>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En este sentido el Dr. Miguel Carbonell ha señalado que:</w:t>
      </w:r>
    </w:p>
    <w:p w:rsidR="004E4ED9" w:rsidRPr="00373F52" w:rsidRDefault="004E4ED9" w:rsidP="004E4ED9">
      <w:pPr>
        <w:spacing w:after="0" w:line="360" w:lineRule="auto"/>
        <w:ind w:left="426"/>
        <w:contextualSpacing/>
        <w:jc w:val="both"/>
        <w:rPr>
          <w:rFonts w:ascii="Palatino Linotype" w:hAnsi="Palatino Linotype" w:cs="Arial"/>
          <w:sz w:val="24"/>
          <w:szCs w:val="24"/>
          <w:lang w:val="es-MX"/>
        </w:rPr>
      </w:pPr>
    </w:p>
    <w:p w:rsidR="004E4ED9" w:rsidRPr="00373F52" w:rsidRDefault="004E4ED9" w:rsidP="004E4ED9">
      <w:p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“Queda claro, en consecuencia, que las obligaciones de promoción, respeto, protección y garantía de los derechos corren a cargo de todos los poderes, incluso </w:t>
      </w:r>
      <w:r w:rsidRPr="00373F52">
        <w:rPr>
          <w:rFonts w:ascii="Palatino Linotype" w:hAnsi="Palatino Linotype" w:cs="Arial"/>
          <w:b/>
          <w:sz w:val="24"/>
          <w:szCs w:val="24"/>
          <w:lang w:val="es-MX"/>
        </w:rPr>
        <w:t>considerando que algún nivel de gobierno tenga obligaciones reforzadas hacia ciertos derechos.</w:t>
      </w:r>
      <w:r w:rsidRPr="00373F52">
        <w:rPr>
          <w:rFonts w:ascii="Palatino Linotype" w:hAnsi="Palatino Linotype" w:cs="Arial"/>
          <w:sz w:val="24"/>
          <w:szCs w:val="24"/>
          <w:lang w:val="es-MX"/>
        </w:rPr>
        <w:t xml:space="preserve"> A partir de tales deberes generales, podemos </w:t>
      </w:r>
      <w:r w:rsidRPr="00373F52">
        <w:rPr>
          <w:rFonts w:ascii="Palatino Linotype" w:hAnsi="Palatino Linotype" w:cs="Arial"/>
          <w:sz w:val="24"/>
          <w:szCs w:val="24"/>
          <w:lang w:val="es-MX"/>
        </w:rPr>
        <w:lastRenderedPageBreak/>
        <w:t xml:space="preserve">afirmar que las autoridades de todos los niveles de gobierno también tienen la obligación positiva de </w:t>
      </w:r>
      <w:r w:rsidRPr="00373F52">
        <w:rPr>
          <w:rFonts w:ascii="Palatino Linotype" w:hAnsi="Palatino Linotype" w:cs="Arial"/>
          <w:b/>
          <w:sz w:val="24"/>
          <w:szCs w:val="24"/>
          <w:lang w:val="es-MX"/>
        </w:rPr>
        <w:t>tomar todas las medidas que sean pertinentes para tutelar y hacer eficaz un derecho</w:t>
      </w:r>
      <w:r w:rsidRPr="00373F52">
        <w:rPr>
          <w:rFonts w:ascii="Palatino Linotype" w:hAnsi="Palatino Linotype" w:cs="Arial"/>
          <w:sz w:val="24"/>
          <w:szCs w:val="24"/>
          <w:lang w:val="es-MX"/>
        </w:rPr>
        <w:t>”.</w:t>
      </w:r>
      <w:r w:rsidRPr="00373F52">
        <w:rPr>
          <w:rFonts w:ascii="Palatino Linotype" w:hAnsi="Palatino Linotype" w:cs="Arial"/>
          <w:vertAlign w:val="superscript"/>
          <w:lang w:val="es-MX"/>
        </w:rPr>
        <w:footnoteReference w:id="4"/>
      </w:r>
    </w:p>
    <w:p w:rsidR="004E4ED9" w:rsidRPr="00373F52" w:rsidRDefault="004E4ED9" w:rsidP="004E4ED9">
      <w:pPr>
        <w:spacing w:after="0" w:line="360" w:lineRule="auto"/>
        <w:ind w:left="426"/>
        <w:contextualSpacing/>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Por lo que restringir el derecho de acceso a la información pública del particular</w:t>
      </w:r>
      <w:r w:rsidRPr="00373F52">
        <w:rPr>
          <w:rFonts w:ascii="Palatino Linotype" w:hAnsi="Palatino Linotype" w:cs="Arial"/>
          <w:b/>
          <w:sz w:val="24"/>
          <w:szCs w:val="24"/>
          <w:lang w:val="es-MX"/>
        </w:rPr>
        <w:t xml:space="preserve"> </w:t>
      </w:r>
      <w:r w:rsidRPr="00373F52">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E4ED9" w:rsidRPr="00373F52" w:rsidRDefault="004E4ED9" w:rsidP="004E4ED9">
      <w:pPr>
        <w:spacing w:after="0" w:line="360" w:lineRule="auto"/>
        <w:ind w:left="720"/>
        <w:contextualSpacing/>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w:t>
      </w:r>
      <w:r w:rsidRPr="00373F52">
        <w:rPr>
          <w:rFonts w:ascii="Palatino Linotype" w:hAnsi="Palatino Linotype" w:cs="Arial"/>
          <w:sz w:val="24"/>
          <w:szCs w:val="24"/>
          <w:lang w:val="es-MX"/>
        </w:rPr>
        <w:lastRenderedPageBreak/>
        <w:t>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E4ED9" w:rsidRPr="00373F52" w:rsidRDefault="004E4ED9" w:rsidP="004E4ED9">
      <w:pPr>
        <w:spacing w:line="360" w:lineRule="auto"/>
        <w:ind w:left="720"/>
        <w:contextualSpacing/>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Frente a esa realidad pasada, la reforma citada nos ubica completamente en nuevas condiciones bajo los criterios del Estado Constitucional de Derecho que nos debe conducir a valorar, junto con Sergio </w:t>
      </w:r>
      <w:proofErr w:type="spellStart"/>
      <w:r w:rsidRPr="00373F52">
        <w:rPr>
          <w:rFonts w:ascii="Palatino Linotype" w:hAnsi="Palatino Linotype" w:cs="Arial"/>
          <w:sz w:val="24"/>
          <w:szCs w:val="24"/>
          <w:lang w:val="es-MX"/>
        </w:rPr>
        <w:t>Cotta</w:t>
      </w:r>
      <w:proofErr w:type="spellEnd"/>
      <w:r w:rsidRPr="00373F52">
        <w:rPr>
          <w:rFonts w:ascii="Palatino Linotype" w:hAnsi="Palatino Linotype" w:cs="Arial"/>
          <w:sz w:val="24"/>
          <w:szCs w:val="24"/>
          <w:lang w:val="es-MX"/>
        </w:rPr>
        <w:t xml:space="preserve"> que “la obligatoriedad de la norma depende de la validez de su justificación, que es, por consiguiente el fundamento de aquella”,</w:t>
      </w:r>
      <w:r w:rsidRPr="00373F52">
        <w:rPr>
          <w:rFonts w:ascii="Palatino Linotype" w:hAnsi="Palatino Linotype" w:cs="Arial"/>
          <w:vertAlign w:val="superscript"/>
          <w:lang w:val="es-MX"/>
        </w:rPr>
        <w:footnoteReference w:id="5"/>
      </w:r>
      <w:r w:rsidRPr="00373F52">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4E4ED9" w:rsidRPr="00373F52" w:rsidRDefault="004E4ED9" w:rsidP="004E4ED9">
      <w:pPr>
        <w:spacing w:line="360" w:lineRule="auto"/>
        <w:ind w:left="720"/>
        <w:contextualSpacing/>
        <w:jc w:val="both"/>
        <w:rPr>
          <w:rFonts w:ascii="Palatino Linotype" w:hAnsi="Palatino Linotype" w:cs="Arial"/>
          <w:sz w:val="24"/>
          <w:szCs w:val="24"/>
          <w:lang w:val="es-MX"/>
        </w:rPr>
      </w:pPr>
    </w:p>
    <w:p w:rsidR="004E4ED9" w:rsidRPr="00924F20"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w:t>
      </w:r>
      <w:r w:rsidRPr="00924F20">
        <w:rPr>
          <w:rFonts w:ascii="Palatino Linotype" w:hAnsi="Palatino Linotype" w:cs="Arial"/>
          <w:sz w:val="24"/>
          <w:szCs w:val="24"/>
          <w:lang w:val="es-MX"/>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w:t>
      </w:r>
      <w:r w:rsidRPr="00924F20">
        <w:rPr>
          <w:rFonts w:ascii="Palatino Linotype" w:hAnsi="Palatino Linotype" w:cs="Arial"/>
          <w:sz w:val="24"/>
          <w:szCs w:val="24"/>
          <w:lang w:val="es-MX"/>
        </w:rPr>
        <w:lastRenderedPageBreak/>
        <w:t xml:space="preserve">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924F20">
        <w:rPr>
          <w:rFonts w:ascii="Palatino Linotype" w:hAnsi="Palatino Linotype" w:cs="Arial"/>
          <w:b/>
          <w:sz w:val="24"/>
          <w:szCs w:val="24"/>
          <w:lang w:val="es-MX"/>
        </w:rPr>
        <w:t>el deber que tienen los órganos del Estado, dentro del margen de sus atribuciones, de prevenir violaciones a los derechos fundamentales,</w:t>
      </w:r>
      <w:r w:rsidRPr="00924F20">
        <w:rPr>
          <w:rFonts w:ascii="Palatino Linotype" w:hAnsi="Palatino Linotype" w:cs="Arial"/>
          <w:sz w:val="24"/>
          <w:szCs w:val="24"/>
          <w:lang w:val="es-MX"/>
        </w:rPr>
        <w:t xml:space="preserve"> ya sea que provengan de una autoridad o de algún particular y, por ello, </w:t>
      </w:r>
      <w:r w:rsidRPr="00924F20">
        <w:rPr>
          <w:rFonts w:ascii="Palatino Linotype" w:hAnsi="Palatino Linotype" w:cs="Arial"/>
          <w:b/>
          <w:sz w:val="24"/>
          <w:szCs w:val="24"/>
          <w:lang w:val="es-MX"/>
        </w:rPr>
        <w:t>debe contarse</w:t>
      </w:r>
      <w:r w:rsidRPr="00924F20">
        <w:rPr>
          <w:rFonts w:ascii="Palatino Linotype" w:hAnsi="Palatino Linotype" w:cs="Arial"/>
          <w:sz w:val="24"/>
          <w:szCs w:val="24"/>
          <w:lang w:val="es-MX"/>
        </w:rPr>
        <w:t xml:space="preserve"> tanto </w:t>
      </w:r>
      <w:r w:rsidRPr="00924F20">
        <w:rPr>
          <w:rFonts w:ascii="Palatino Linotype" w:hAnsi="Palatino Linotype" w:cs="Arial"/>
          <w:b/>
          <w:sz w:val="24"/>
          <w:szCs w:val="24"/>
          <w:lang w:val="es-MX"/>
        </w:rPr>
        <w:t>con mecanismos</w:t>
      </w:r>
      <w:r w:rsidRPr="00924F20">
        <w:rPr>
          <w:rFonts w:ascii="Palatino Linotype" w:hAnsi="Palatino Linotype" w:cs="Arial"/>
          <w:sz w:val="24"/>
          <w:szCs w:val="24"/>
          <w:lang w:val="es-MX"/>
        </w:rPr>
        <w:t xml:space="preserve"> de vigilancia como </w:t>
      </w:r>
      <w:r w:rsidRPr="00924F20">
        <w:rPr>
          <w:rFonts w:ascii="Palatino Linotype" w:hAnsi="Palatino Linotype" w:cs="Arial"/>
          <w:b/>
          <w:sz w:val="24"/>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924F20">
        <w:rPr>
          <w:rFonts w:ascii="Palatino Linotype" w:hAnsi="Palatino Linotype" w:cs="Arial"/>
          <w:sz w:val="24"/>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924F20">
        <w:rPr>
          <w:rFonts w:ascii="Palatino Linotype" w:hAnsi="Palatino Linotype" w:cs="Arial"/>
          <w:sz w:val="24"/>
          <w:szCs w:val="24"/>
          <w:lang w:val="es-MX"/>
        </w:rPr>
        <w:t>Octubre</w:t>
      </w:r>
      <w:proofErr w:type="gramEnd"/>
      <w:r w:rsidRPr="00924F20">
        <w:rPr>
          <w:rFonts w:ascii="Palatino Linotype" w:hAnsi="Palatino Linotype" w:cs="Arial"/>
          <w:sz w:val="24"/>
          <w:szCs w:val="24"/>
          <w:lang w:val="es-MX"/>
        </w:rPr>
        <w:t xml:space="preserve"> de 2014, Tomo III, Página: 2840.</w:t>
      </w:r>
    </w:p>
    <w:p w:rsidR="004E4ED9" w:rsidRPr="00924F20" w:rsidRDefault="004E4ED9" w:rsidP="004E4ED9">
      <w:pPr>
        <w:spacing w:after="0" w:line="360" w:lineRule="auto"/>
        <w:ind w:left="426"/>
        <w:contextualSpacing/>
        <w:jc w:val="both"/>
        <w:rPr>
          <w:rFonts w:ascii="Palatino Linotype" w:hAnsi="Palatino Linotype" w:cs="Arial"/>
          <w:sz w:val="24"/>
          <w:szCs w:val="24"/>
          <w:lang w:val="es-MX"/>
        </w:rPr>
      </w:pPr>
    </w:p>
    <w:p w:rsidR="004E4ED9" w:rsidRPr="00924F20"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924F20">
        <w:rPr>
          <w:rFonts w:ascii="Palatino Linotype" w:hAnsi="Palatino Linotype" w:cs="Arial"/>
          <w:sz w:val="24"/>
          <w:szCs w:val="24"/>
          <w:lang w:val="es-MX"/>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924F20">
        <w:rPr>
          <w:rFonts w:ascii="Palatino Linotype" w:hAnsi="Palatino Linotype" w:cs="Arial"/>
          <w:b/>
          <w:sz w:val="24"/>
          <w:szCs w:val="24"/>
          <w:lang w:val="es-MX"/>
        </w:rPr>
        <w:t>SUJETOS OBLIGADOS</w:t>
      </w:r>
      <w:r w:rsidRPr="00924F20">
        <w:rPr>
          <w:rFonts w:ascii="Palatino Linotype" w:hAnsi="Palatino Linotype" w:cs="Arial"/>
          <w:sz w:val="24"/>
          <w:szCs w:val="24"/>
          <w:lang w:val="es-MX"/>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4E4ED9" w:rsidRPr="00924F20" w:rsidRDefault="004E4ED9" w:rsidP="004E4ED9">
      <w:pPr>
        <w:spacing w:line="360" w:lineRule="auto"/>
        <w:ind w:left="720"/>
        <w:contextualSpacing/>
        <w:rPr>
          <w:rFonts w:ascii="Palatino Linotype" w:hAnsi="Palatino Linotype" w:cs="Arial"/>
          <w:sz w:val="24"/>
          <w:szCs w:val="24"/>
          <w:lang w:val="es-MX"/>
        </w:rPr>
      </w:pPr>
    </w:p>
    <w:p w:rsidR="004E4ED9" w:rsidRPr="00924F20"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924F20">
        <w:rPr>
          <w:rFonts w:ascii="Palatino Linotype" w:hAnsi="Palatino Linotype" w:cs="Arial"/>
          <w:sz w:val="24"/>
          <w:szCs w:val="24"/>
          <w:lang w:val="es-MX"/>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924F20">
        <w:rPr>
          <w:rFonts w:ascii="Palatino Linotype" w:hAnsi="Palatino Linotype" w:cs="Arial"/>
          <w:sz w:val="24"/>
          <w:szCs w:val="24"/>
          <w:lang w:val="es-MX"/>
        </w:rPr>
        <w:t>procedibilidad</w:t>
      </w:r>
      <w:proofErr w:type="spellEnd"/>
      <w:r w:rsidRPr="00924F20">
        <w:rPr>
          <w:rFonts w:ascii="Palatino Linotype" w:hAnsi="Palatino Linotype" w:cs="Arial"/>
          <w:sz w:val="24"/>
          <w:szCs w:val="24"/>
          <w:lang w:val="es-MX"/>
        </w:rPr>
        <w:t>, ya que en todo momento nos encontramos ante un derecho más alto que, puede considerarse en los siguientes términos:</w:t>
      </w:r>
    </w:p>
    <w:p w:rsidR="004E4ED9" w:rsidRPr="00924F20" w:rsidRDefault="004E4ED9" w:rsidP="004E4ED9">
      <w:pPr>
        <w:spacing w:after="0" w:line="360" w:lineRule="auto"/>
        <w:ind w:left="284"/>
        <w:contextualSpacing/>
        <w:jc w:val="both"/>
        <w:rPr>
          <w:rFonts w:ascii="Palatino Linotype" w:hAnsi="Palatino Linotype" w:cs="Arial"/>
          <w:sz w:val="24"/>
          <w:szCs w:val="24"/>
          <w:lang w:val="es-MX"/>
        </w:rPr>
      </w:pPr>
    </w:p>
    <w:p w:rsidR="004E4ED9" w:rsidRPr="00373F52" w:rsidRDefault="004E4ED9" w:rsidP="004E4ED9">
      <w:pPr>
        <w:spacing w:after="0" w:line="360" w:lineRule="auto"/>
        <w:ind w:left="567" w:right="618"/>
        <w:jc w:val="both"/>
        <w:rPr>
          <w:rFonts w:ascii="Palatino Linotype" w:hAnsi="Palatino Linotype" w:cs="Arial"/>
          <w:i/>
          <w:lang w:val="es-MX"/>
        </w:rPr>
      </w:pPr>
      <w:r w:rsidRPr="00373F52">
        <w:rPr>
          <w:rFonts w:ascii="Palatino Linotype" w:hAnsi="Palatino Linotype" w:cs="Arial"/>
          <w:i/>
          <w:lang w:val="es-MX"/>
        </w:rPr>
        <w:t xml:space="preserve">“Las Constituciones contemporáneas intentan poner remedio a estos efectos destructivos del orden jurídico mediante la previsión de un derecho más alto, dotado de </w:t>
      </w:r>
      <w:r w:rsidRPr="00373F52">
        <w:rPr>
          <w:rFonts w:ascii="Palatino Linotype" w:hAnsi="Palatino Linotype" w:cs="Arial"/>
          <w:i/>
          <w:lang w:val="es-MX"/>
        </w:rPr>
        <w:lastRenderedPageBreak/>
        <w:t xml:space="preserve">fuerza obligatoria incluso para el legislador. El objetivo es condicionar y, por tanto, contener, orientándolos, los desarrollos contradictorios de la producción del derecho, generados por la heterogeneidad y </w:t>
      </w:r>
      <w:proofErr w:type="spellStart"/>
      <w:r w:rsidRPr="00373F52">
        <w:rPr>
          <w:rFonts w:ascii="Palatino Linotype" w:hAnsi="Palatino Linotype" w:cs="Arial"/>
          <w:i/>
          <w:lang w:val="es-MX"/>
        </w:rPr>
        <w:t>ocasionalidad</w:t>
      </w:r>
      <w:proofErr w:type="spellEnd"/>
      <w:r w:rsidRPr="00373F52">
        <w:rPr>
          <w:rFonts w:ascii="Palatino Linotype" w:hAnsi="Palatino Linotype" w:cs="Arial"/>
          <w:i/>
          <w:lang w:val="es-MX"/>
        </w:rPr>
        <w:t xml:space="preserve"> de las presiones sociales que se ejercen sobre el mismo”.</w:t>
      </w:r>
      <w:r w:rsidRPr="00373F52">
        <w:rPr>
          <w:rFonts w:ascii="Palatino Linotype" w:hAnsi="Palatino Linotype" w:cs="Arial"/>
          <w:i/>
          <w:vertAlign w:val="superscript"/>
          <w:lang w:val="es-MX"/>
        </w:rPr>
        <w:footnoteReference w:id="6"/>
      </w:r>
    </w:p>
    <w:p w:rsidR="004E4ED9" w:rsidRPr="00373F52" w:rsidRDefault="004E4ED9" w:rsidP="004E4ED9">
      <w:pPr>
        <w:spacing w:after="0" w:line="360" w:lineRule="auto"/>
        <w:ind w:left="1134" w:right="618"/>
        <w:jc w:val="both"/>
        <w:rPr>
          <w:rFonts w:ascii="Palatino Linotype" w:hAnsi="Palatino Linotype" w:cs="Arial"/>
          <w:i/>
          <w:lang w:val="es-MX"/>
        </w:rPr>
      </w:pPr>
    </w:p>
    <w:p w:rsidR="004E4ED9" w:rsidRPr="00373F52" w:rsidRDefault="004E4ED9" w:rsidP="004E4ED9">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E4ED9" w:rsidRPr="00373F52" w:rsidRDefault="004E4ED9" w:rsidP="004E4ED9">
      <w:pPr>
        <w:spacing w:after="0" w:line="360" w:lineRule="auto"/>
        <w:ind w:left="426"/>
        <w:contextualSpacing/>
        <w:jc w:val="both"/>
        <w:rPr>
          <w:rFonts w:ascii="Palatino Linotype" w:hAnsi="Palatino Linotype" w:cs="Arial"/>
          <w:sz w:val="24"/>
          <w:szCs w:val="24"/>
          <w:lang w:val="es-MX"/>
        </w:rPr>
      </w:pPr>
    </w:p>
    <w:p w:rsidR="004E4ED9" w:rsidRPr="00373F52" w:rsidRDefault="004E4ED9" w:rsidP="00924F20">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w:t>
      </w:r>
      <w:r w:rsidRPr="00373F52">
        <w:rPr>
          <w:rFonts w:ascii="Palatino Linotype" w:hAnsi="Palatino Linotype" w:cs="Arial"/>
          <w:sz w:val="24"/>
          <w:szCs w:val="24"/>
          <w:lang w:val="es-MX"/>
        </w:rPr>
        <w:lastRenderedPageBreak/>
        <w:t>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4E4ED9" w:rsidRPr="00373F52" w:rsidRDefault="004E4ED9" w:rsidP="00924F20">
      <w:pPr>
        <w:spacing w:after="0" w:line="360" w:lineRule="auto"/>
        <w:ind w:left="720"/>
        <w:contextualSpacing/>
        <w:jc w:val="both"/>
        <w:rPr>
          <w:rFonts w:ascii="Palatino Linotype" w:hAnsi="Palatino Linotype" w:cs="Arial"/>
          <w:sz w:val="24"/>
          <w:szCs w:val="24"/>
          <w:lang w:val="es-MX"/>
        </w:rPr>
      </w:pPr>
    </w:p>
    <w:p w:rsidR="004E4ED9" w:rsidRDefault="004E4ED9" w:rsidP="00924F20">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E4ED9" w:rsidRDefault="004E4ED9" w:rsidP="004E4ED9">
      <w:pPr>
        <w:spacing w:after="0" w:line="360" w:lineRule="auto"/>
        <w:ind w:left="426"/>
        <w:contextualSpacing/>
        <w:jc w:val="both"/>
        <w:rPr>
          <w:rFonts w:ascii="Palatino Linotype" w:hAnsi="Palatino Linotype" w:cs="Arial"/>
          <w:sz w:val="24"/>
          <w:szCs w:val="24"/>
          <w:lang w:val="es-MX"/>
        </w:rPr>
      </w:pPr>
    </w:p>
    <w:p w:rsidR="00E5391B" w:rsidRDefault="00E5391B" w:rsidP="004E4ED9">
      <w:pPr>
        <w:spacing w:after="0" w:line="360" w:lineRule="auto"/>
        <w:ind w:left="426"/>
        <w:contextualSpacing/>
        <w:jc w:val="both"/>
        <w:rPr>
          <w:rFonts w:ascii="Palatino Linotype" w:hAnsi="Palatino Linotype" w:cs="Arial"/>
          <w:sz w:val="24"/>
          <w:szCs w:val="24"/>
          <w:lang w:val="es-MX"/>
        </w:rPr>
      </w:pPr>
    </w:p>
    <w:p w:rsidR="00E5391B" w:rsidRPr="00373F52" w:rsidRDefault="00E5391B" w:rsidP="004E4ED9">
      <w:pPr>
        <w:spacing w:after="0" w:line="360" w:lineRule="auto"/>
        <w:ind w:left="426"/>
        <w:contextualSpacing/>
        <w:jc w:val="both"/>
        <w:rPr>
          <w:rFonts w:ascii="Palatino Linotype" w:hAnsi="Palatino Linotype" w:cs="Arial"/>
          <w:sz w:val="24"/>
          <w:szCs w:val="24"/>
          <w:lang w:val="es-MX"/>
        </w:rPr>
      </w:pPr>
    </w:p>
    <w:p w:rsidR="004E4ED9" w:rsidRPr="00373F52" w:rsidRDefault="004E4ED9" w:rsidP="004E4ED9">
      <w:pPr>
        <w:spacing w:after="0" w:line="360" w:lineRule="auto"/>
        <w:jc w:val="center"/>
        <w:rPr>
          <w:rFonts w:ascii="Palatino Linotype" w:hAnsi="Palatino Linotype"/>
          <w:b/>
          <w:sz w:val="24"/>
          <w:szCs w:val="24"/>
          <w:lang w:val="es-MX"/>
        </w:rPr>
      </w:pPr>
      <w:r w:rsidRPr="00373F52">
        <w:rPr>
          <w:rFonts w:ascii="Palatino Linotype" w:hAnsi="Palatino Linotype"/>
          <w:b/>
          <w:sz w:val="24"/>
          <w:szCs w:val="24"/>
          <w:lang w:val="es-MX"/>
        </w:rPr>
        <w:t>JOSÉ GUADALUPE LUNA HERNÁNDEZ</w:t>
      </w:r>
    </w:p>
    <w:p w:rsidR="004E4ED9" w:rsidRDefault="004E4ED9" w:rsidP="004E4ED9">
      <w:pPr>
        <w:spacing w:line="360" w:lineRule="auto"/>
        <w:jc w:val="center"/>
        <w:rPr>
          <w:rFonts w:ascii="Palatino Linotype" w:hAnsi="Palatino Linotype"/>
          <w:b/>
          <w:sz w:val="24"/>
          <w:szCs w:val="24"/>
          <w:lang w:val="es-MX"/>
        </w:rPr>
      </w:pPr>
      <w:r w:rsidRPr="00373F52">
        <w:rPr>
          <w:rFonts w:ascii="Palatino Linotype" w:hAnsi="Palatino Linotype"/>
          <w:b/>
          <w:sz w:val="24"/>
          <w:szCs w:val="24"/>
          <w:lang w:val="es-MX"/>
        </w:rPr>
        <w:t>COMISIONADO</w:t>
      </w:r>
    </w:p>
    <w:p w:rsidR="00E5391B" w:rsidRDefault="00E5391B" w:rsidP="00924F20">
      <w:pPr>
        <w:spacing w:line="360" w:lineRule="auto"/>
        <w:rPr>
          <w:rFonts w:ascii="Palatino Linotype" w:hAnsi="Palatino Linotype"/>
          <w:b/>
          <w:sz w:val="24"/>
          <w:szCs w:val="24"/>
          <w:lang w:val="es-MX"/>
        </w:rPr>
      </w:pPr>
    </w:p>
    <w:p w:rsidR="00AA5CEE" w:rsidRDefault="004E4ED9" w:rsidP="00924F20">
      <w:pPr>
        <w:spacing w:line="360" w:lineRule="auto"/>
      </w:pPr>
      <w:r w:rsidRPr="008E227A">
        <w:rPr>
          <w:rFonts w:ascii="Palatino Linotype" w:hAnsi="Palatino Linotype"/>
          <w:b/>
          <w:lang w:val="es-MX"/>
        </w:rPr>
        <w:t>JGLH/</w:t>
      </w:r>
      <w:proofErr w:type="spellStart"/>
      <w:r w:rsidRPr="008E227A">
        <w:rPr>
          <w:rFonts w:ascii="Palatino Linotype" w:hAnsi="Palatino Linotype"/>
          <w:b/>
          <w:lang w:val="es-MX"/>
        </w:rPr>
        <w:t>msa</w:t>
      </w:r>
      <w:proofErr w:type="spellEnd"/>
      <w:r w:rsidRPr="00373F52">
        <w:rPr>
          <w:rFonts w:ascii="Palatino Linotype" w:hAnsi="Palatino Linotype"/>
          <w:b/>
          <w:lang w:val="es-MX"/>
        </w:rPr>
        <w:t>.</w:t>
      </w:r>
    </w:p>
    <w:sectPr w:rsidR="00AA5CEE" w:rsidSect="00DA55B8">
      <w:headerReference w:type="even" r:id="rId19"/>
      <w:headerReference w:type="default" r:id="rId20"/>
      <w:footerReference w:type="default" r:id="rId21"/>
      <w:headerReference w:type="first" r:id="rId2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EB0" w:rsidRDefault="00441EB0" w:rsidP="004E4ED9">
      <w:pPr>
        <w:spacing w:after="0" w:line="240" w:lineRule="auto"/>
      </w:pPr>
      <w:r>
        <w:separator/>
      </w:r>
    </w:p>
  </w:endnote>
  <w:endnote w:type="continuationSeparator" w:id="0">
    <w:p w:rsidR="00441EB0" w:rsidRDefault="00441EB0" w:rsidP="004E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653BAB">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03994">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03994">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441E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EB0" w:rsidRDefault="00441EB0" w:rsidP="004E4ED9">
      <w:pPr>
        <w:spacing w:after="0" w:line="240" w:lineRule="auto"/>
      </w:pPr>
      <w:r>
        <w:separator/>
      </w:r>
    </w:p>
  </w:footnote>
  <w:footnote w:type="continuationSeparator" w:id="0">
    <w:p w:rsidR="00441EB0" w:rsidRDefault="00441EB0" w:rsidP="004E4ED9">
      <w:pPr>
        <w:spacing w:after="0" w:line="240" w:lineRule="auto"/>
      </w:pPr>
      <w:r>
        <w:continuationSeparator/>
      </w:r>
    </w:p>
  </w:footnote>
  <w:footnote w:id="1">
    <w:p w:rsidR="009F6173" w:rsidRPr="00534304" w:rsidRDefault="009F6173" w:rsidP="009F6173">
      <w:pPr>
        <w:ind w:right="51"/>
        <w:jc w:val="both"/>
        <w:rPr>
          <w:rFonts w:ascii="Palatino Linotype" w:hAnsi="Palatino Linotype" w:cs="Arial"/>
          <w:i/>
          <w:sz w:val="16"/>
          <w:szCs w:val="16"/>
        </w:rPr>
      </w:pPr>
      <w:r w:rsidRPr="00534304">
        <w:rPr>
          <w:rStyle w:val="Refdenotaalpie"/>
          <w:rFonts w:ascii="Palatino Linotype" w:hAnsi="Palatino Linotype"/>
          <w:sz w:val="16"/>
          <w:szCs w:val="16"/>
        </w:rPr>
        <w:footnoteRef/>
      </w:r>
      <w:r w:rsidRPr="00534304">
        <w:rPr>
          <w:rFonts w:ascii="Palatino Linotype" w:hAnsi="Palatino Linotype"/>
          <w:sz w:val="16"/>
          <w:szCs w:val="16"/>
        </w:rPr>
        <w:t xml:space="preserve"> </w:t>
      </w:r>
      <w:r w:rsidRPr="00534304">
        <w:rPr>
          <w:rFonts w:ascii="Palatino Linotype" w:hAnsi="Palatino Linotype" w:cs="Arial"/>
          <w:b/>
          <w:bCs/>
          <w:i/>
          <w:caps/>
          <w:sz w:val="16"/>
          <w:szCs w:val="16"/>
        </w:rPr>
        <w:t xml:space="preserve">“ACTOS CONSENTIDOS. SON LOS QUE NO SE IMPUGNAN MEDIANTE EL RECURSO IDÓNEO. </w:t>
      </w:r>
      <w:r w:rsidRPr="00534304">
        <w:rPr>
          <w:rFonts w:ascii="Palatino Linotype" w:hAnsi="Palatino Linotype" w:cs="Arial"/>
          <w:i/>
          <w:sz w:val="16"/>
          <w:szCs w:val="16"/>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F6173" w:rsidRDefault="009F6173" w:rsidP="009F6173">
      <w:pPr>
        <w:pStyle w:val="Textonotapie"/>
      </w:pPr>
    </w:p>
  </w:footnote>
  <w:footnote w:id="2">
    <w:p w:rsidR="004E4ED9" w:rsidRDefault="004E4ED9" w:rsidP="004E4ED9">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3">
    <w:p w:rsidR="004E4ED9" w:rsidRDefault="004E4ED9" w:rsidP="004E4ED9">
      <w:pPr>
        <w:pStyle w:val="Textonotapie"/>
      </w:pPr>
      <w:r>
        <w:rPr>
          <w:rStyle w:val="Refdenotaalpie"/>
        </w:rPr>
        <w:footnoteRef/>
      </w:r>
      <w:r>
        <w:t xml:space="preserve"> </w:t>
      </w:r>
      <w:r w:rsidRPr="00C775C0">
        <w:rPr>
          <w:i/>
        </w:rPr>
        <w:t>Ibídem</w:t>
      </w:r>
      <w:r>
        <w:t>. Pág. 3594.</w:t>
      </w:r>
    </w:p>
  </w:footnote>
  <w:footnote w:id="4">
    <w:p w:rsidR="004E4ED9" w:rsidRDefault="004E4ED9" w:rsidP="004E4ED9">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5">
    <w:p w:rsidR="004E4ED9" w:rsidRDefault="004E4ED9" w:rsidP="004E4ED9">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6">
    <w:p w:rsidR="004E4ED9" w:rsidRDefault="004E4ED9" w:rsidP="004E4ED9">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41EB0">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41EB0">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41EB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41EB0">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B4AE4"/>
    <w:multiLevelType w:val="hybridMultilevel"/>
    <w:tmpl w:val="4404C456"/>
    <w:lvl w:ilvl="0" w:tplc="BC0A51DC">
      <w:start w:val="1"/>
      <w:numFmt w:val="decimal"/>
      <w:lvlText w:val="%1."/>
      <w:lvlJc w:val="left"/>
      <w:pPr>
        <w:ind w:left="720" w:hanging="360"/>
      </w:pPr>
      <w:rPr>
        <w:rFonts w:eastAsia="Times New Roman" w:cs="Arial" w:hint="default"/>
        <w:b/>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F9F6D1D"/>
    <w:multiLevelType w:val="hybridMultilevel"/>
    <w:tmpl w:val="986621A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D9"/>
    <w:rsid w:val="000C3703"/>
    <w:rsid w:val="00186266"/>
    <w:rsid w:val="001C2F94"/>
    <w:rsid w:val="00203994"/>
    <w:rsid w:val="00441EB0"/>
    <w:rsid w:val="004E4ED9"/>
    <w:rsid w:val="00653BAB"/>
    <w:rsid w:val="00730213"/>
    <w:rsid w:val="00924F20"/>
    <w:rsid w:val="009F6173"/>
    <w:rsid w:val="00AA5CEE"/>
    <w:rsid w:val="00C90286"/>
    <w:rsid w:val="00E53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A6D039B-1AE3-4156-8C1F-8CC14E7F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E4E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4ED9"/>
    <w:rPr>
      <w:sz w:val="20"/>
      <w:szCs w:val="20"/>
    </w:rPr>
  </w:style>
  <w:style w:type="paragraph" w:styleId="Piedepgina">
    <w:name w:val="footer"/>
    <w:basedOn w:val="Normal"/>
    <w:link w:val="PiedepginaCar"/>
    <w:uiPriority w:val="99"/>
    <w:semiHidden/>
    <w:unhideWhenUsed/>
    <w:rsid w:val="004E4E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E4ED9"/>
  </w:style>
  <w:style w:type="paragraph" w:styleId="Encabezado">
    <w:name w:val="header"/>
    <w:basedOn w:val="Normal"/>
    <w:link w:val="EncabezadoCar"/>
    <w:uiPriority w:val="99"/>
    <w:semiHidden/>
    <w:unhideWhenUsed/>
    <w:rsid w:val="004E4E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E4ED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4ED9"/>
    <w:rPr>
      <w:vertAlign w:val="superscript"/>
    </w:rPr>
  </w:style>
  <w:style w:type="paragraph" w:styleId="Prrafodelista">
    <w:name w:val="List Paragraph"/>
    <w:basedOn w:val="Normal"/>
    <w:link w:val="PrrafodelistaCar"/>
    <w:uiPriority w:val="34"/>
    <w:qFormat/>
    <w:rsid w:val="004E4ED9"/>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4E4ED9"/>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E4ED9"/>
    <w:rPr>
      <w:color w:val="0563C1" w:themeColor="hyperlink"/>
      <w:u w:val="single"/>
    </w:rPr>
  </w:style>
  <w:style w:type="paragraph" w:styleId="TDC1">
    <w:name w:val="toc 1"/>
    <w:basedOn w:val="Normal"/>
    <w:next w:val="Normal"/>
    <w:autoRedefine/>
    <w:uiPriority w:val="39"/>
    <w:unhideWhenUsed/>
    <w:rsid w:val="009F6173"/>
    <w:pPr>
      <w:spacing w:after="100"/>
    </w:pPr>
  </w:style>
  <w:style w:type="paragraph" w:styleId="Textodeglobo">
    <w:name w:val="Balloon Text"/>
    <w:basedOn w:val="Normal"/>
    <w:link w:val="TextodegloboCar"/>
    <w:uiPriority w:val="99"/>
    <w:semiHidden/>
    <w:unhideWhenUsed/>
    <w:rsid w:val="00924F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4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7958.page" TargetMode="External"/><Relationship Id="rId13" Type="http://schemas.openxmlformats.org/officeDocument/2006/relationships/hyperlink" Target="https://www.saimex.org.mx/saimex/solicitud/downloadAttach/548155.page" TargetMode="External"/><Relationship Id="rId18" Type="http://schemas.openxmlformats.org/officeDocument/2006/relationships/hyperlink" Target="https://www.saimex.org.mx/saimex/solicitud/downloadAttach/548174.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548154.page" TargetMode="External"/><Relationship Id="rId17" Type="http://schemas.openxmlformats.org/officeDocument/2006/relationships/hyperlink" Target="https://www.saimex.org.mx/saimex/solicitud/downloadAttach/548173.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548158.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7961.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48157.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547960.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47959.page" TargetMode="External"/><Relationship Id="rId14" Type="http://schemas.openxmlformats.org/officeDocument/2006/relationships/hyperlink" Target="https://www.saimex.org.mx/saimex/solicitud/downloadAttach/548156.page"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3A07-DA0B-4E75-80D4-B94CC21D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3312</Words>
  <Characters>18222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2018-09-12T18:56:00Z</cp:lastPrinted>
  <dcterms:created xsi:type="dcterms:W3CDTF">2018-09-06T18:17:00Z</dcterms:created>
  <dcterms:modified xsi:type="dcterms:W3CDTF">2018-11-07T21:12:00Z</dcterms:modified>
</cp:coreProperties>
</file>